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5876659" w:displacedByCustomXml="next"/>
    <w:bookmarkEnd w:id="0" w:displacedByCustomXml="next"/>
    <w:sdt>
      <w:sdtPr>
        <w:id w:val="-515076580"/>
        <w:docPartObj>
          <w:docPartGallery w:val="Cover Pages"/>
          <w:docPartUnique/>
        </w:docPartObj>
      </w:sdtPr>
      <w:sdtEndPr/>
      <w:sdtContent>
        <w:p w14:paraId="1918508E" w14:textId="41A2CFF2" w:rsidR="00903005" w:rsidRDefault="00634AF5">
          <w:r>
            <w:rPr>
              <w:rFonts w:eastAsia="Times New Roman"/>
              <w:noProof/>
            </w:rPr>
            <w:drawing>
              <wp:anchor distT="0" distB="0" distL="114300" distR="114300" simplePos="0" relativeHeight="251660288" behindDoc="1" locked="0" layoutInCell="1" allowOverlap="1" wp14:anchorId="1E105853" wp14:editId="21C8238D">
                <wp:simplePos x="0" y="0"/>
                <wp:positionH relativeFrom="page">
                  <wp:posOffset>-813</wp:posOffset>
                </wp:positionH>
                <wp:positionV relativeFrom="margin">
                  <wp:posOffset>-903326</wp:posOffset>
                </wp:positionV>
                <wp:extent cx="7809865" cy="3828158"/>
                <wp:effectExtent l="0" t="0" r="635"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r:link="rId12" cstate="print">
                          <a:extLst>
                            <a:ext uri="{28A0092B-C50C-407E-A947-70E740481C1C}">
                              <a14:useLocalDpi xmlns:a14="http://schemas.microsoft.com/office/drawing/2010/main" val="0"/>
                            </a:ext>
                          </a:extLst>
                        </a:blip>
                        <a:srcRect t="12078" r="351" b="53223"/>
                        <a:stretch/>
                      </pic:blipFill>
                      <pic:spPr bwMode="auto">
                        <a:xfrm>
                          <a:off x="0" y="0"/>
                          <a:ext cx="7809865" cy="38281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0797E3" w14:textId="0EFD086B" w:rsidR="00903005" w:rsidRDefault="00B36A6D"/>
      </w:sdtContent>
    </w:sdt>
    <w:p w14:paraId="12C94B7C" w14:textId="614C2913" w:rsidR="00CB7AAE" w:rsidRDefault="00CB7AAE"/>
    <w:p w14:paraId="5B49E82A" w14:textId="64607AE3" w:rsidR="00B653CE" w:rsidRDefault="00B653CE"/>
    <w:p w14:paraId="2297D2CB" w14:textId="76B23CD7" w:rsidR="00B653CE" w:rsidRDefault="00B653CE"/>
    <w:p w14:paraId="74FA524E" w14:textId="69D01897" w:rsidR="00E8665C" w:rsidRDefault="00E8665C"/>
    <w:p w14:paraId="7630ED75" w14:textId="4CF61F5B" w:rsidR="00E8665C" w:rsidRDefault="00E8665C"/>
    <w:p w14:paraId="3C200B16" w14:textId="77777777" w:rsidR="00E8665C" w:rsidRDefault="00E8665C"/>
    <w:p w14:paraId="64A81564" w14:textId="77777777" w:rsidR="00E8665C" w:rsidRDefault="00E8665C"/>
    <w:p w14:paraId="616D52C8" w14:textId="77777777" w:rsidR="00E8665C" w:rsidRDefault="00E8665C"/>
    <w:p w14:paraId="39AF097D" w14:textId="4C218EEC" w:rsidR="00E8665C" w:rsidRDefault="00E8665C"/>
    <w:p w14:paraId="5DAA1E7C" w14:textId="106BBCB4" w:rsidR="00E8665C" w:rsidRDefault="00E8665C"/>
    <w:p w14:paraId="286C12CE" w14:textId="29927D93" w:rsidR="00E8665C" w:rsidRDefault="00E8665C"/>
    <w:p w14:paraId="67F80808" w14:textId="1C170101" w:rsidR="002D5E8C" w:rsidRPr="002D5E8C" w:rsidRDefault="002D5E8C" w:rsidP="002D5E8C">
      <w:pPr>
        <w:rPr>
          <w:rFonts w:eastAsiaTheme="minorEastAsia" w:cstheme="minorHAnsi"/>
          <w:caps/>
          <w:color w:val="4472C4" w:themeColor="accent1"/>
          <w:sz w:val="56"/>
          <w:szCs w:val="56"/>
          <w:lang w:val="en-US"/>
        </w:rPr>
      </w:pPr>
      <w:r w:rsidRPr="002D5E8C">
        <w:rPr>
          <w:rFonts w:eastAsiaTheme="minorEastAsia" w:cstheme="minorHAnsi"/>
          <w:caps/>
          <w:color w:val="4472C4" w:themeColor="accent1"/>
          <w:sz w:val="56"/>
          <w:szCs w:val="56"/>
          <w:lang w:val="en-US"/>
        </w:rPr>
        <w:t>Accounting Separation</w:t>
      </w:r>
      <w:r w:rsidR="001B74DE">
        <w:rPr>
          <w:rFonts w:eastAsiaTheme="minorEastAsia" w:cstheme="minorHAnsi"/>
          <w:caps/>
          <w:color w:val="4472C4" w:themeColor="accent1"/>
          <w:sz w:val="56"/>
          <w:szCs w:val="56"/>
          <w:lang w:val="en-US"/>
        </w:rPr>
        <w:t xml:space="preserve"> METHODOLOGY</w:t>
      </w:r>
      <w:r w:rsidRPr="002D5E8C">
        <w:rPr>
          <w:rFonts w:eastAsiaTheme="minorEastAsia" w:cstheme="minorHAnsi"/>
          <w:caps/>
          <w:color w:val="4472C4" w:themeColor="accent1"/>
          <w:sz w:val="56"/>
          <w:szCs w:val="56"/>
          <w:lang w:val="en-US"/>
        </w:rPr>
        <w:t xml:space="preserve"> </w:t>
      </w:r>
    </w:p>
    <w:p w14:paraId="1650B412" w14:textId="77777777" w:rsidR="002D5E8C" w:rsidRPr="002D5E8C" w:rsidRDefault="002D5E8C" w:rsidP="002D5E8C">
      <w:pPr>
        <w:rPr>
          <w:rFonts w:eastAsiaTheme="minorEastAsia" w:cstheme="minorHAnsi"/>
          <w:caps/>
          <w:color w:val="4472C4" w:themeColor="accent1"/>
          <w:sz w:val="56"/>
          <w:szCs w:val="56"/>
          <w:lang w:val="en-US"/>
        </w:rPr>
      </w:pPr>
    </w:p>
    <w:p w14:paraId="3A3D045A" w14:textId="51C64643" w:rsidR="00E8665C" w:rsidRDefault="00E8665C" w:rsidP="002D5E8C">
      <w:pPr>
        <w:jc w:val="center"/>
      </w:pPr>
    </w:p>
    <w:p w14:paraId="4A43C9E4" w14:textId="585C3CCD" w:rsidR="001F1357" w:rsidRDefault="001F1357"/>
    <w:p w14:paraId="47E0D1C0" w14:textId="37287131" w:rsidR="001F1357" w:rsidRDefault="001F1357"/>
    <w:p w14:paraId="7E853BD8" w14:textId="07D67575" w:rsidR="001F1357" w:rsidRPr="00397710" w:rsidRDefault="001F1357">
      <w:pPr>
        <w:rPr>
          <w:b/>
          <w:bCs/>
        </w:rPr>
      </w:pPr>
    </w:p>
    <w:p w14:paraId="7726E92D" w14:textId="387AEA70" w:rsidR="001F1357" w:rsidRDefault="001F1357"/>
    <w:p w14:paraId="7C959B3E" w14:textId="5DB2AD73" w:rsidR="001F1357" w:rsidRDefault="001F1357">
      <w:r>
        <w:rPr>
          <w:rFonts w:eastAsia="Times New Roman"/>
          <w:noProof/>
        </w:rPr>
        <w:drawing>
          <wp:anchor distT="0" distB="0" distL="114300" distR="114300" simplePos="0" relativeHeight="251653120" behindDoc="0" locked="0" layoutInCell="1" allowOverlap="1" wp14:anchorId="55FEC900" wp14:editId="3108482C">
            <wp:simplePos x="0" y="0"/>
            <wp:positionH relativeFrom="page">
              <wp:align>right</wp:align>
            </wp:positionH>
            <wp:positionV relativeFrom="margin">
              <wp:posOffset>8846955</wp:posOffset>
            </wp:positionV>
            <wp:extent cx="7563053" cy="1687195"/>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r:link="rId12" cstate="print">
                      <a:extLst>
                        <a:ext uri="{28A0092B-C50C-407E-A947-70E740481C1C}">
                          <a14:useLocalDpi xmlns:a14="http://schemas.microsoft.com/office/drawing/2010/main" val="0"/>
                        </a:ext>
                      </a:extLst>
                    </a:blip>
                    <a:srcRect t="84183"/>
                    <a:stretch/>
                  </pic:blipFill>
                  <pic:spPr bwMode="auto">
                    <a:xfrm>
                      <a:off x="0" y="0"/>
                      <a:ext cx="7563053" cy="1687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page"/>
      </w:r>
    </w:p>
    <w:p w14:paraId="4E2E2AC0" w14:textId="77777777" w:rsidR="008879C0" w:rsidRPr="008879C0" w:rsidRDefault="008879C0">
      <w:pPr>
        <w:rPr>
          <w:sz w:val="2"/>
          <w:szCs w:val="2"/>
        </w:rPr>
      </w:pPr>
    </w:p>
    <w:p w14:paraId="7F8998F5" w14:textId="0A8CFCB5" w:rsidR="008043B4" w:rsidRDefault="008043B4"/>
    <w:sdt>
      <w:sdtPr>
        <w:rPr>
          <w:rFonts w:asciiTheme="minorHAnsi" w:eastAsiaTheme="minorHAnsi" w:hAnsiTheme="minorHAnsi" w:cstheme="minorBidi"/>
          <w:color w:val="auto"/>
          <w:sz w:val="22"/>
          <w:szCs w:val="22"/>
          <w:lang w:val="en-GB"/>
        </w:rPr>
        <w:id w:val="-1131320043"/>
        <w:docPartObj>
          <w:docPartGallery w:val="Table of Contents"/>
          <w:docPartUnique/>
        </w:docPartObj>
      </w:sdtPr>
      <w:sdtEndPr>
        <w:rPr>
          <w:b/>
          <w:bCs/>
          <w:noProof/>
        </w:rPr>
      </w:sdtEndPr>
      <w:sdtContent>
        <w:p w14:paraId="142D3B34" w14:textId="77777777" w:rsidR="00C30AF0" w:rsidRPr="00F16CF1" w:rsidRDefault="00C30AF0">
          <w:pPr>
            <w:pStyle w:val="TOCHeading"/>
            <w:rPr>
              <w:rFonts w:asciiTheme="minorHAnsi" w:eastAsiaTheme="minorHAnsi" w:hAnsiTheme="minorHAnsi" w:cstheme="minorBidi"/>
              <w:color w:val="auto"/>
              <w:sz w:val="2"/>
              <w:szCs w:val="2"/>
              <w:lang w:val="en-GB"/>
            </w:rPr>
          </w:pPr>
        </w:p>
        <w:p w14:paraId="78B815CF" w14:textId="3ED889DA" w:rsidR="008043B4" w:rsidRPr="00C80428" w:rsidRDefault="008043B4">
          <w:pPr>
            <w:pStyle w:val="TOCHeading"/>
            <w:rPr>
              <w:rFonts w:ascii="Calibre Bold" w:hAnsi="Calibre Bold"/>
              <w:b/>
              <w:color w:val="004EA5"/>
              <w:sz w:val="36"/>
              <w:lang w:val="en-GB"/>
            </w:rPr>
          </w:pPr>
          <w:r w:rsidRPr="00C80428">
            <w:rPr>
              <w:rFonts w:ascii="Calibre Bold" w:hAnsi="Calibre Bold"/>
              <w:b/>
              <w:color w:val="004EA5"/>
              <w:sz w:val="36"/>
              <w:lang w:val="en-GB"/>
            </w:rPr>
            <w:t>Contents</w:t>
          </w:r>
        </w:p>
        <w:p w14:paraId="2897E528" w14:textId="0BAC2092" w:rsidR="00B36A6D" w:rsidRDefault="008043B4">
          <w:pPr>
            <w:pStyle w:val="TOC1"/>
            <w:tabs>
              <w:tab w:val="right" w:leader="dot" w:pos="901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72019342" w:history="1">
            <w:r w:rsidR="00B36A6D" w:rsidRPr="006516C4">
              <w:rPr>
                <w:rStyle w:val="Hyperlink"/>
                <w:noProof/>
              </w:rPr>
              <w:t>OVERVIEW</w:t>
            </w:r>
            <w:r w:rsidR="00B36A6D">
              <w:rPr>
                <w:noProof/>
                <w:webHidden/>
              </w:rPr>
              <w:tab/>
            </w:r>
            <w:r w:rsidR="00B36A6D">
              <w:rPr>
                <w:noProof/>
                <w:webHidden/>
              </w:rPr>
              <w:fldChar w:fldCharType="begin"/>
            </w:r>
            <w:r w:rsidR="00B36A6D">
              <w:rPr>
                <w:noProof/>
                <w:webHidden/>
              </w:rPr>
              <w:instrText xml:space="preserve"> PAGEREF _Toc172019342 \h </w:instrText>
            </w:r>
            <w:r w:rsidR="00B36A6D">
              <w:rPr>
                <w:noProof/>
                <w:webHidden/>
              </w:rPr>
            </w:r>
            <w:r w:rsidR="00B36A6D">
              <w:rPr>
                <w:noProof/>
                <w:webHidden/>
              </w:rPr>
              <w:fldChar w:fldCharType="separate"/>
            </w:r>
            <w:r w:rsidR="00B36A6D">
              <w:rPr>
                <w:noProof/>
                <w:webHidden/>
              </w:rPr>
              <w:t>2</w:t>
            </w:r>
            <w:r w:rsidR="00B36A6D">
              <w:rPr>
                <w:noProof/>
                <w:webHidden/>
              </w:rPr>
              <w:fldChar w:fldCharType="end"/>
            </w:r>
          </w:hyperlink>
        </w:p>
        <w:p w14:paraId="663EEF4B" w14:textId="2B782543" w:rsidR="00B36A6D" w:rsidRDefault="00B36A6D">
          <w:pPr>
            <w:pStyle w:val="TOC1"/>
            <w:tabs>
              <w:tab w:val="right" w:leader="dot" w:pos="9016"/>
            </w:tabs>
            <w:rPr>
              <w:rFonts w:eastAsiaTheme="minorEastAsia"/>
              <w:noProof/>
              <w:kern w:val="2"/>
              <w:lang w:eastAsia="en-GB"/>
              <w14:ligatures w14:val="standardContextual"/>
            </w:rPr>
          </w:pPr>
          <w:hyperlink w:anchor="_Toc172019343" w:history="1">
            <w:r w:rsidRPr="006516C4">
              <w:rPr>
                <w:rStyle w:val="Hyperlink"/>
                <w:noProof/>
              </w:rPr>
              <w:t>INFORMATION SOURCES</w:t>
            </w:r>
            <w:r>
              <w:rPr>
                <w:noProof/>
                <w:webHidden/>
              </w:rPr>
              <w:tab/>
            </w:r>
            <w:r>
              <w:rPr>
                <w:noProof/>
                <w:webHidden/>
              </w:rPr>
              <w:fldChar w:fldCharType="begin"/>
            </w:r>
            <w:r>
              <w:rPr>
                <w:noProof/>
                <w:webHidden/>
              </w:rPr>
              <w:instrText xml:space="preserve"> PAGEREF _Toc172019343 \h </w:instrText>
            </w:r>
            <w:r>
              <w:rPr>
                <w:noProof/>
                <w:webHidden/>
              </w:rPr>
            </w:r>
            <w:r>
              <w:rPr>
                <w:noProof/>
                <w:webHidden/>
              </w:rPr>
              <w:fldChar w:fldCharType="separate"/>
            </w:r>
            <w:r>
              <w:rPr>
                <w:noProof/>
                <w:webHidden/>
              </w:rPr>
              <w:t>5</w:t>
            </w:r>
            <w:r>
              <w:rPr>
                <w:noProof/>
                <w:webHidden/>
              </w:rPr>
              <w:fldChar w:fldCharType="end"/>
            </w:r>
          </w:hyperlink>
        </w:p>
        <w:p w14:paraId="176F0031" w14:textId="55029AB1" w:rsidR="00B36A6D" w:rsidRDefault="00B36A6D">
          <w:pPr>
            <w:pStyle w:val="TOC1"/>
            <w:tabs>
              <w:tab w:val="left" w:pos="3218"/>
              <w:tab w:val="right" w:leader="dot" w:pos="9016"/>
            </w:tabs>
            <w:rPr>
              <w:rFonts w:eastAsiaTheme="minorEastAsia"/>
              <w:noProof/>
              <w:kern w:val="2"/>
              <w:lang w:eastAsia="en-GB"/>
              <w14:ligatures w14:val="standardContextual"/>
            </w:rPr>
          </w:pPr>
          <w:hyperlink w:anchor="_Toc172019344" w:history="1">
            <w:r w:rsidRPr="006516C4">
              <w:rPr>
                <w:rStyle w:val="Hyperlink"/>
                <w:noProof/>
              </w:rPr>
              <w:t>CHANGES TO COST ALLOCATIONS</w:t>
            </w:r>
            <w:r>
              <w:rPr>
                <w:rFonts w:eastAsiaTheme="minorEastAsia"/>
                <w:noProof/>
                <w:kern w:val="2"/>
                <w:lang w:eastAsia="en-GB"/>
                <w14:ligatures w14:val="standardContextual"/>
              </w:rPr>
              <w:tab/>
            </w:r>
            <w:r w:rsidRPr="006516C4">
              <w:rPr>
                <w:rStyle w:val="Hyperlink"/>
                <w:noProof/>
              </w:rPr>
              <w:t>- 2023/24</w:t>
            </w:r>
            <w:r>
              <w:rPr>
                <w:noProof/>
                <w:webHidden/>
              </w:rPr>
              <w:tab/>
            </w:r>
            <w:r>
              <w:rPr>
                <w:noProof/>
                <w:webHidden/>
              </w:rPr>
              <w:fldChar w:fldCharType="begin"/>
            </w:r>
            <w:r>
              <w:rPr>
                <w:noProof/>
                <w:webHidden/>
              </w:rPr>
              <w:instrText xml:space="preserve"> PAGEREF _Toc172019344 \h </w:instrText>
            </w:r>
            <w:r>
              <w:rPr>
                <w:noProof/>
                <w:webHidden/>
              </w:rPr>
            </w:r>
            <w:r>
              <w:rPr>
                <w:noProof/>
                <w:webHidden/>
              </w:rPr>
              <w:fldChar w:fldCharType="separate"/>
            </w:r>
            <w:r>
              <w:rPr>
                <w:noProof/>
                <w:webHidden/>
              </w:rPr>
              <w:t>6</w:t>
            </w:r>
            <w:r>
              <w:rPr>
                <w:noProof/>
                <w:webHidden/>
              </w:rPr>
              <w:fldChar w:fldCharType="end"/>
            </w:r>
          </w:hyperlink>
        </w:p>
        <w:p w14:paraId="18671984" w14:textId="73015B9C" w:rsidR="00B36A6D" w:rsidRDefault="00B36A6D">
          <w:pPr>
            <w:pStyle w:val="TOC1"/>
            <w:tabs>
              <w:tab w:val="right" w:leader="dot" w:pos="9016"/>
            </w:tabs>
            <w:rPr>
              <w:rFonts w:eastAsiaTheme="minorEastAsia"/>
              <w:noProof/>
              <w:kern w:val="2"/>
              <w:lang w:eastAsia="en-GB"/>
              <w14:ligatures w14:val="standardContextual"/>
            </w:rPr>
          </w:pPr>
          <w:hyperlink w:anchor="_Toc172019345" w:history="1">
            <w:r w:rsidRPr="006516C4">
              <w:rPr>
                <w:rStyle w:val="Hyperlink"/>
                <w:noProof/>
              </w:rPr>
              <w:t>COST ALLOCATION MODEL</w:t>
            </w:r>
            <w:r>
              <w:rPr>
                <w:noProof/>
                <w:webHidden/>
              </w:rPr>
              <w:tab/>
            </w:r>
            <w:r>
              <w:rPr>
                <w:noProof/>
                <w:webHidden/>
              </w:rPr>
              <w:fldChar w:fldCharType="begin"/>
            </w:r>
            <w:r>
              <w:rPr>
                <w:noProof/>
                <w:webHidden/>
              </w:rPr>
              <w:instrText xml:space="preserve"> PAGEREF _Toc172019345 \h </w:instrText>
            </w:r>
            <w:r>
              <w:rPr>
                <w:noProof/>
                <w:webHidden/>
              </w:rPr>
            </w:r>
            <w:r>
              <w:rPr>
                <w:noProof/>
                <w:webHidden/>
              </w:rPr>
              <w:fldChar w:fldCharType="separate"/>
            </w:r>
            <w:r>
              <w:rPr>
                <w:noProof/>
                <w:webHidden/>
              </w:rPr>
              <w:t>7</w:t>
            </w:r>
            <w:r>
              <w:rPr>
                <w:noProof/>
                <w:webHidden/>
              </w:rPr>
              <w:fldChar w:fldCharType="end"/>
            </w:r>
          </w:hyperlink>
        </w:p>
        <w:p w14:paraId="464A9BE5" w14:textId="7D024CC9" w:rsidR="00B36A6D" w:rsidRDefault="00B36A6D">
          <w:pPr>
            <w:pStyle w:val="TOC1"/>
            <w:tabs>
              <w:tab w:val="right" w:leader="dot" w:pos="9016"/>
            </w:tabs>
            <w:rPr>
              <w:rFonts w:eastAsiaTheme="minorEastAsia"/>
              <w:noProof/>
              <w:kern w:val="2"/>
              <w:lang w:eastAsia="en-GB"/>
              <w14:ligatures w14:val="standardContextual"/>
            </w:rPr>
          </w:pPr>
          <w:hyperlink w:anchor="_Toc172019346" w:history="1">
            <w:r w:rsidRPr="006516C4">
              <w:rPr>
                <w:rStyle w:val="Hyperlink"/>
                <w:noProof/>
              </w:rPr>
              <w:t>COST ALLOCATIONS</w:t>
            </w:r>
            <w:r>
              <w:rPr>
                <w:noProof/>
                <w:webHidden/>
              </w:rPr>
              <w:tab/>
            </w:r>
            <w:r>
              <w:rPr>
                <w:noProof/>
                <w:webHidden/>
              </w:rPr>
              <w:fldChar w:fldCharType="begin"/>
            </w:r>
            <w:r>
              <w:rPr>
                <w:noProof/>
                <w:webHidden/>
              </w:rPr>
              <w:instrText xml:space="preserve"> PAGEREF _Toc172019346 \h </w:instrText>
            </w:r>
            <w:r>
              <w:rPr>
                <w:noProof/>
                <w:webHidden/>
              </w:rPr>
            </w:r>
            <w:r>
              <w:rPr>
                <w:noProof/>
                <w:webHidden/>
              </w:rPr>
              <w:fldChar w:fldCharType="separate"/>
            </w:r>
            <w:r>
              <w:rPr>
                <w:noProof/>
                <w:webHidden/>
              </w:rPr>
              <w:t>8</w:t>
            </w:r>
            <w:r>
              <w:rPr>
                <w:noProof/>
                <w:webHidden/>
              </w:rPr>
              <w:fldChar w:fldCharType="end"/>
            </w:r>
          </w:hyperlink>
        </w:p>
        <w:p w14:paraId="374B69D9" w14:textId="3FF1D2F7" w:rsidR="00B36A6D" w:rsidRDefault="00B36A6D">
          <w:pPr>
            <w:pStyle w:val="TOC1"/>
            <w:tabs>
              <w:tab w:val="right" w:leader="dot" w:pos="9016"/>
            </w:tabs>
            <w:rPr>
              <w:rFonts w:eastAsiaTheme="minorEastAsia"/>
              <w:noProof/>
              <w:kern w:val="2"/>
              <w:lang w:eastAsia="en-GB"/>
              <w14:ligatures w14:val="standardContextual"/>
            </w:rPr>
          </w:pPr>
          <w:hyperlink w:anchor="_Toc172019347" w:history="1">
            <w:r w:rsidRPr="006516C4">
              <w:rPr>
                <w:rStyle w:val="Hyperlink"/>
                <w:noProof/>
              </w:rPr>
              <w:t>WHOLESALE COST ALLOCATIONS</w:t>
            </w:r>
            <w:r>
              <w:rPr>
                <w:noProof/>
                <w:webHidden/>
              </w:rPr>
              <w:tab/>
            </w:r>
            <w:r>
              <w:rPr>
                <w:noProof/>
                <w:webHidden/>
              </w:rPr>
              <w:fldChar w:fldCharType="begin"/>
            </w:r>
            <w:r>
              <w:rPr>
                <w:noProof/>
                <w:webHidden/>
              </w:rPr>
              <w:instrText xml:space="preserve"> PAGEREF _Toc172019347 \h </w:instrText>
            </w:r>
            <w:r>
              <w:rPr>
                <w:noProof/>
                <w:webHidden/>
              </w:rPr>
            </w:r>
            <w:r>
              <w:rPr>
                <w:noProof/>
                <w:webHidden/>
              </w:rPr>
              <w:fldChar w:fldCharType="separate"/>
            </w:r>
            <w:r>
              <w:rPr>
                <w:noProof/>
                <w:webHidden/>
              </w:rPr>
              <w:t>9</w:t>
            </w:r>
            <w:r>
              <w:rPr>
                <w:noProof/>
                <w:webHidden/>
              </w:rPr>
              <w:fldChar w:fldCharType="end"/>
            </w:r>
          </w:hyperlink>
        </w:p>
        <w:p w14:paraId="63287283" w14:textId="5294EAD2" w:rsidR="00B36A6D" w:rsidRDefault="00B36A6D">
          <w:pPr>
            <w:pStyle w:val="TOC1"/>
            <w:tabs>
              <w:tab w:val="right" w:leader="dot" w:pos="9016"/>
            </w:tabs>
            <w:rPr>
              <w:rFonts w:eastAsiaTheme="minorEastAsia"/>
              <w:noProof/>
              <w:kern w:val="2"/>
              <w:lang w:eastAsia="en-GB"/>
              <w14:ligatures w14:val="standardContextual"/>
            </w:rPr>
          </w:pPr>
          <w:hyperlink w:anchor="_Toc172019348" w:history="1">
            <w:r w:rsidRPr="006516C4">
              <w:rPr>
                <w:rStyle w:val="Hyperlink"/>
                <w:noProof/>
              </w:rPr>
              <w:t>RETAIL COST ALLOCATIONS</w:t>
            </w:r>
            <w:r>
              <w:rPr>
                <w:noProof/>
                <w:webHidden/>
              </w:rPr>
              <w:tab/>
            </w:r>
            <w:r>
              <w:rPr>
                <w:noProof/>
                <w:webHidden/>
              </w:rPr>
              <w:fldChar w:fldCharType="begin"/>
            </w:r>
            <w:r>
              <w:rPr>
                <w:noProof/>
                <w:webHidden/>
              </w:rPr>
              <w:instrText xml:space="preserve"> PAGEREF _Toc172019348 \h </w:instrText>
            </w:r>
            <w:r>
              <w:rPr>
                <w:noProof/>
                <w:webHidden/>
              </w:rPr>
            </w:r>
            <w:r>
              <w:rPr>
                <w:noProof/>
                <w:webHidden/>
              </w:rPr>
              <w:fldChar w:fldCharType="separate"/>
            </w:r>
            <w:r>
              <w:rPr>
                <w:noProof/>
                <w:webHidden/>
              </w:rPr>
              <w:t>18</w:t>
            </w:r>
            <w:r>
              <w:rPr>
                <w:noProof/>
                <w:webHidden/>
              </w:rPr>
              <w:fldChar w:fldCharType="end"/>
            </w:r>
          </w:hyperlink>
        </w:p>
        <w:p w14:paraId="21BDECC6" w14:textId="5C7C664D" w:rsidR="00B36A6D" w:rsidRDefault="00B36A6D">
          <w:pPr>
            <w:pStyle w:val="TOC1"/>
            <w:tabs>
              <w:tab w:val="right" w:leader="dot" w:pos="9016"/>
            </w:tabs>
            <w:rPr>
              <w:rFonts w:eastAsiaTheme="minorEastAsia"/>
              <w:noProof/>
              <w:kern w:val="2"/>
              <w:lang w:eastAsia="en-GB"/>
              <w14:ligatures w14:val="standardContextual"/>
            </w:rPr>
          </w:pPr>
          <w:hyperlink w:anchor="_Toc172019349" w:history="1">
            <w:r w:rsidRPr="006516C4">
              <w:rPr>
                <w:rStyle w:val="Hyperlink"/>
                <w:noProof/>
              </w:rPr>
              <w:t>HOUSEHOLD REVENUES BY CUSTOMER TYPE</w:t>
            </w:r>
            <w:r>
              <w:rPr>
                <w:noProof/>
                <w:webHidden/>
              </w:rPr>
              <w:tab/>
            </w:r>
            <w:r>
              <w:rPr>
                <w:noProof/>
                <w:webHidden/>
              </w:rPr>
              <w:fldChar w:fldCharType="begin"/>
            </w:r>
            <w:r>
              <w:rPr>
                <w:noProof/>
                <w:webHidden/>
              </w:rPr>
              <w:instrText xml:space="preserve"> PAGEREF _Toc172019349 \h </w:instrText>
            </w:r>
            <w:r>
              <w:rPr>
                <w:noProof/>
                <w:webHidden/>
              </w:rPr>
            </w:r>
            <w:r>
              <w:rPr>
                <w:noProof/>
                <w:webHidden/>
              </w:rPr>
              <w:fldChar w:fldCharType="separate"/>
            </w:r>
            <w:r>
              <w:rPr>
                <w:noProof/>
                <w:webHidden/>
              </w:rPr>
              <w:t>21</w:t>
            </w:r>
            <w:r>
              <w:rPr>
                <w:noProof/>
                <w:webHidden/>
              </w:rPr>
              <w:fldChar w:fldCharType="end"/>
            </w:r>
          </w:hyperlink>
        </w:p>
        <w:p w14:paraId="0E3131F6" w14:textId="744B5883" w:rsidR="00B36A6D" w:rsidRDefault="00B36A6D">
          <w:pPr>
            <w:pStyle w:val="TOC1"/>
            <w:tabs>
              <w:tab w:val="right" w:leader="dot" w:pos="9016"/>
            </w:tabs>
            <w:rPr>
              <w:rFonts w:eastAsiaTheme="minorEastAsia"/>
              <w:noProof/>
              <w:kern w:val="2"/>
              <w:lang w:eastAsia="en-GB"/>
              <w14:ligatures w14:val="standardContextual"/>
            </w:rPr>
          </w:pPr>
          <w:hyperlink w:anchor="_Toc172019350" w:history="1">
            <w:r w:rsidRPr="006516C4">
              <w:rPr>
                <w:rStyle w:val="Hyperlink"/>
                <w:noProof/>
              </w:rPr>
              <w:t>RETAIL HOUSEHOLD ANALYSIS</w:t>
            </w:r>
            <w:r>
              <w:rPr>
                <w:noProof/>
                <w:webHidden/>
              </w:rPr>
              <w:tab/>
            </w:r>
            <w:r>
              <w:rPr>
                <w:noProof/>
                <w:webHidden/>
              </w:rPr>
              <w:fldChar w:fldCharType="begin"/>
            </w:r>
            <w:r>
              <w:rPr>
                <w:noProof/>
                <w:webHidden/>
              </w:rPr>
              <w:instrText xml:space="preserve"> PAGEREF _Toc172019350 \h </w:instrText>
            </w:r>
            <w:r>
              <w:rPr>
                <w:noProof/>
                <w:webHidden/>
              </w:rPr>
            </w:r>
            <w:r>
              <w:rPr>
                <w:noProof/>
                <w:webHidden/>
              </w:rPr>
              <w:fldChar w:fldCharType="separate"/>
            </w:r>
            <w:r>
              <w:rPr>
                <w:noProof/>
                <w:webHidden/>
              </w:rPr>
              <w:t>22</w:t>
            </w:r>
            <w:r>
              <w:rPr>
                <w:noProof/>
                <w:webHidden/>
              </w:rPr>
              <w:fldChar w:fldCharType="end"/>
            </w:r>
          </w:hyperlink>
        </w:p>
        <w:p w14:paraId="10566F87" w14:textId="513C4BC3" w:rsidR="00B36A6D" w:rsidRDefault="00B36A6D">
          <w:pPr>
            <w:pStyle w:val="TOC1"/>
            <w:tabs>
              <w:tab w:val="right" w:leader="dot" w:pos="9016"/>
            </w:tabs>
            <w:rPr>
              <w:rFonts w:eastAsiaTheme="minorEastAsia"/>
              <w:noProof/>
              <w:kern w:val="2"/>
              <w:lang w:eastAsia="en-GB"/>
              <w14:ligatures w14:val="standardContextual"/>
            </w:rPr>
          </w:pPr>
          <w:hyperlink w:anchor="_Toc172019351" w:history="1">
            <w:r w:rsidRPr="006516C4">
              <w:rPr>
                <w:rStyle w:val="Hyperlink"/>
                <w:noProof/>
              </w:rPr>
              <w:t>GROUP SHARED SERVICES COST ALLOCATION</w:t>
            </w:r>
            <w:r>
              <w:rPr>
                <w:noProof/>
                <w:webHidden/>
              </w:rPr>
              <w:tab/>
            </w:r>
            <w:r>
              <w:rPr>
                <w:noProof/>
                <w:webHidden/>
              </w:rPr>
              <w:fldChar w:fldCharType="begin"/>
            </w:r>
            <w:r>
              <w:rPr>
                <w:noProof/>
                <w:webHidden/>
              </w:rPr>
              <w:instrText xml:space="preserve"> PAGEREF _Toc172019351 \h </w:instrText>
            </w:r>
            <w:r>
              <w:rPr>
                <w:noProof/>
                <w:webHidden/>
              </w:rPr>
            </w:r>
            <w:r>
              <w:rPr>
                <w:noProof/>
                <w:webHidden/>
              </w:rPr>
              <w:fldChar w:fldCharType="separate"/>
            </w:r>
            <w:r>
              <w:rPr>
                <w:noProof/>
                <w:webHidden/>
              </w:rPr>
              <w:t>23</w:t>
            </w:r>
            <w:r>
              <w:rPr>
                <w:noProof/>
                <w:webHidden/>
              </w:rPr>
              <w:fldChar w:fldCharType="end"/>
            </w:r>
          </w:hyperlink>
        </w:p>
        <w:p w14:paraId="5F015A9E" w14:textId="3E34C508" w:rsidR="00B36A6D" w:rsidRDefault="00B36A6D">
          <w:pPr>
            <w:pStyle w:val="TOC1"/>
            <w:tabs>
              <w:tab w:val="right" w:leader="dot" w:pos="9016"/>
            </w:tabs>
            <w:rPr>
              <w:rFonts w:eastAsiaTheme="minorEastAsia"/>
              <w:noProof/>
              <w:kern w:val="2"/>
              <w:lang w:eastAsia="en-GB"/>
              <w14:ligatures w14:val="standardContextual"/>
            </w:rPr>
          </w:pPr>
          <w:hyperlink w:anchor="_Toc172019352" w:history="1">
            <w:r w:rsidRPr="006516C4">
              <w:rPr>
                <w:rStyle w:val="Hyperlink"/>
                <w:noProof/>
              </w:rPr>
              <w:t>CAPITAL MAINTENANCE COSTS</w:t>
            </w:r>
            <w:r>
              <w:rPr>
                <w:noProof/>
                <w:webHidden/>
              </w:rPr>
              <w:tab/>
            </w:r>
            <w:r>
              <w:rPr>
                <w:noProof/>
                <w:webHidden/>
              </w:rPr>
              <w:fldChar w:fldCharType="begin"/>
            </w:r>
            <w:r>
              <w:rPr>
                <w:noProof/>
                <w:webHidden/>
              </w:rPr>
              <w:instrText xml:space="preserve"> PAGEREF _Toc172019352 \h </w:instrText>
            </w:r>
            <w:r>
              <w:rPr>
                <w:noProof/>
                <w:webHidden/>
              </w:rPr>
            </w:r>
            <w:r>
              <w:rPr>
                <w:noProof/>
                <w:webHidden/>
              </w:rPr>
              <w:fldChar w:fldCharType="separate"/>
            </w:r>
            <w:r>
              <w:rPr>
                <w:noProof/>
                <w:webHidden/>
              </w:rPr>
              <w:t>24</w:t>
            </w:r>
            <w:r>
              <w:rPr>
                <w:noProof/>
                <w:webHidden/>
              </w:rPr>
              <w:fldChar w:fldCharType="end"/>
            </w:r>
          </w:hyperlink>
        </w:p>
        <w:p w14:paraId="51FE51AA" w14:textId="717F4A53" w:rsidR="00B36A6D" w:rsidRDefault="00B36A6D">
          <w:pPr>
            <w:pStyle w:val="TOC1"/>
            <w:tabs>
              <w:tab w:val="right" w:leader="dot" w:pos="9016"/>
            </w:tabs>
            <w:rPr>
              <w:rFonts w:eastAsiaTheme="minorEastAsia"/>
              <w:noProof/>
              <w:kern w:val="2"/>
              <w:lang w:eastAsia="en-GB"/>
              <w14:ligatures w14:val="standardContextual"/>
            </w:rPr>
          </w:pPr>
          <w:hyperlink w:anchor="_Toc172019353" w:history="1">
            <w:r w:rsidRPr="006516C4">
              <w:rPr>
                <w:rStyle w:val="Hyperlink"/>
                <w:noProof/>
              </w:rPr>
              <w:t>CURRENT COST DEPRECIATION CHARGE</w:t>
            </w:r>
            <w:r>
              <w:rPr>
                <w:noProof/>
                <w:webHidden/>
              </w:rPr>
              <w:tab/>
            </w:r>
            <w:r>
              <w:rPr>
                <w:noProof/>
                <w:webHidden/>
              </w:rPr>
              <w:fldChar w:fldCharType="begin"/>
            </w:r>
            <w:r>
              <w:rPr>
                <w:noProof/>
                <w:webHidden/>
              </w:rPr>
              <w:instrText xml:space="preserve"> PAGEREF _Toc172019353 \h </w:instrText>
            </w:r>
            <w:r>
              <w:rPr>
                <w:noProof/>
                <w:webHidden/>
              </w:rPr>
            </w:r>
            <w:r>
              <w:rPr>
                <w:noProof/>
                <w:webHidden/>
              </w:rPr>
              <w:fldChar w:fldCharType="separate"/>
            </w:r>
            <w:r>
              <w:rPr>
                <w:noProof/>
                <w:webHidden/>
              </w:rPr>
              <w:t>25</w:t>
            </w:r>
            <w:r>
              <w:rPr>
                <w:noProof/>
                <w:webHidden/>
              </w:rPr>
              <w:fldChar w:fldCharType="end"/>
            </w:r>
          </w:hyperlink>
        </w:p>
        <w:p w14:paraId="248FC0AC" w14:textId="3CB7FDC6" w:rsidR="00B36A6D" w:rsidRDefault="00B36A6D">
          <w:pPr>
            <w:pStyle w:val="TOC1"/>
            <w:tabs>
              <w:tab w:val="right" w:leader="dot" w:pos="9016"/>
            </w:tabs>
            <w:rPr>
              <w:rFonts w:eastAsiaTheme="minorEastAsia"/>
              <w:noProof/>
              <w:kern w:val="2"/>
              <w:lang w:eastAsia="en-GB"/>
              <w14:ligatures w14:val="standardContextual"/>
            </w:rPr>
          </w:pPr>
          <w:hyperlink w:anchor="_Toc172019354" w:history="1">
            <w:r w:rsidRPr="006516C4">
              <w:rPr>
                <w:rStyle w:val="Hyperlink"/>
                <w:noProof/>
              </w:rPr>
              <w:t>INFRASTRUCTURE RENEWALS CHARGE</w:t>
            </w:r>
            <w:r>
              <w:rPr>
                <w:noProof/>
                <w:webHidden/>
              </w:rPr>
              <w:tab/>
            </w:r>
            <w:r>
              <w:rPr>
                <w:noProof/>
                <w:webHidden/>
              </w:rPr>
              <w:fldChar w:fldCharType="begin"/>
            </w:r>
            <w:r>
              <w:rPr>
                <w:noProof/>
                <w:webHidden/>
              </w:rPr>
              <w:instrText xml:space="preserve"> PAGEREF _Toc172019354 \h </w:instrText>
            </w:r>
            <w:r>
              <w:rPr>
                <w:noProof/>
                <w:webHidden/>
              </w:rPr>
            </w:r>
            <w:r>
              <w:rPr>
                <w:noProof/>
                <w:webHidden/>
              </w:rPr>
              <w:fldChar w:fldCharType="separate"/>
            </w:r>
            <w:r>
              <w:rPr>
                <w:noProof/>
                <w:webHidden/>
              </w:rPr>
              <w:t>26</w:t>
            </w:r>
            <w:r>
              <w:rPr>
                <w:noProof/>
                <w:webHidden/>
              </w:rPr>
              <w:fldChar w:fldCharType="end"/>
            </w:r>
          </w:hyperlink>
        </w:p>
        <w:p w14:paraId="39DF5F20" w14:textId="5F429BC5" w:rsidR="00B36A6D" w:rsidRDefault="00B36A6D">
          <w:pPr>
            <w:pStyle w:val="TOC1"/>
            <w:tabs>
              <w:tab w:val="right" w:leader="dot" w:pos="9016"/>
            </w:tabs>
            <w:rPr>
              <w:rFonts w:eastAsiaTheme="minorEastAsia"/>
              <w:noProof/>
              <w:kern w:val="2"/>
              <w:lang w:eastAsia="en-GB"/>
              <w14:ligatures w14:val="standardContextual"/>
            </w:rPr>
          </w:pPr>
          <w:hyperlink w:anchor="_Toc172019355" w:history="1">
            <w:r w:rsidRPr="006516C4">
              <w:rPr>
                <w:rStyle w:val="Hyperlink"/>
                <w:noProof/>
              </w:rPr>
              <w:t>RECHARGES BETWEEN BUSINESS UNITS</w:t>
            </w:r>
            <w:r>
              <w:rPr>
                <w:noProof/>
                <w:webHidden/>
              </w:rPr>
              <w:tab/>
            </w:r>
            <w:r>
              <w:rPr>
                <w:noProof/>
                <w:webHidden/>
              </w:rPr>
              <w:fldChar w:fldCharType="begin"/>
            </w:r>
            <w:r>
              <w:rPr>
                <w:noProof/>
                <w:webHidden/>
              </w:rPr>
              <w:instrText xml:space="preserve"> PAGEREF _Toc172019355 \h </w:instrText>
            </w:r>
            <w:r>
              <w:rPr>
                <w:noProof/>
                <w:webHidden/>
              </w:rPr>
            </w:r>
            <w:r>
              <w:rPr>
                <w:noProof/>
                <w:webHidden/>
              </w:rPr>
              <w:fldChar w:fldCharType="separate"/>
            </w:r>
            <w:r>
              <w:rPr>
                <w:noProof/>
                <w:webHidden/>
              </w:rPr>
              <w:t>27</w:t>
            </w:r>
            <w:r>
              <w:rPr>
                <w:noProof/>
                <w:webHidden/>
              </w:rPr>
              <w:fldChar w:fldCharType="end"/>
            </w:r>
          </w:hyperlink>
        </w:p>
        <w:p w14:paraId="495123E5" w14:textId="14286196" w:rsidR="00B36A6D" w:rsidRDefault="00B36A6D">
          <w:pPr>
            <w:pStyle w:val="TOC1"/>
            <w:tabs>
              <w:tab w:val="right" w:leader="dot" w:pos="9016"/>
            </w:tabs>
            <w:rPr>
              <w:rFonts w:eastAsiaTheme="minorEastAsia"/>
              <w:noProof/>
              <w:kern w:val="2"/>
              <w:lang w:eastAsia="en-GB"/>
              <w14:ligatures w14:val="standardContextual"/>
            </w:rPr>
          </w:pPr>
          <w:hyperlink w:anchor="_Toc172019356" w:history="1">
            <w:r w:rsidRPr="006516C4">
              <w:rPr>
                <w:rStyle w:val="Hyperlink"/>
                <w:noProof/>
              </w:rPr>
              <w:t>HISTORICAL COST ANALYSIS OF FIXED ASSETS – WHOLESALE &amp; RETAIL</w:t>
            </w:r>
            <w:r>
              <w:rPr>
                <w:noProof/>
                <w:webHidden/>
              </w:rPr>
              <w:tab/>
            </w:r>
            <w:r>
              <w:rPr>
                <w:noProof/>
                <w:webHidden/>
              </w:rPr>
              <w:fldChar w:fldCharType="begin"/>
            </w:r>
            <w:r>
              <w:rPr>
                <w:noProof/>
                <w:webHidden/>
              </w:rPr>
              <w:instrText xml:space="preserve"> PAGEREF _Toc172019356 \h </w:instrText>
            </w:r>
            <w:r>
              <w:rPr>
                <w:noProof/>
                <w:webHidden/>
              </w:rPr>
            </w:r>
            <w:r>
              <w:rPr>
                <w:noProof/>
                <w:webHidden/>
              </w:rPr>
              <w:fldChar w:fldCharType="separate"/>
            </w:r>
            <w:r>
              <w:rPr>
                <w:noProof/>
                <w:webHidden/>
              </w:rPr>
              <w:t>28</w:t>
            </w:r>
            <w:r>
              <w:rPr>
                <w:noProof/>
                <w:webHidden/>
              </w:rPr>
              <w:fldChar w:fldCharType="end"/>
            </w:r>
          </w:hyperlink>
        </w:p>
        <w:p w14:paraId="48DAD6CA" w14:textId="2AB24DF0" w:rsidR="00B36A6D" w:rsidRDefault="00B36A6D">
          <w:pPr>
            <w:pStyle w:val="TOC1"/>
            <w:tabs>
              <w:tab w:val="right" w:leader="dot" w:pos="9016"/>
            </w:tabs>
            <w:rPr>
              <w:rFonts w:eastAsiaTheme="minorEastAsia"/>
              <w:noProof/>
              <w:kern w:val="2"/>
              <w:lang w:eastAsia="en-GB"/>
              <w14:ligatures w14:val="standardContextual"/>
            </w:rPr>
          </w:pPr>
          <w:hyperlink w:anchor="_Toc172019357" w:history="1">
            <w:r w:rsidRPr="006516C4">
              <w:rPr>
                <w:rStyle w:val="Hyperlink"/>
                <w:noProof/>
              </w:rPr>
              <w:t>APPENDIX A:</w:t>
            </w:r>
            <w:r>
              <w:rPr>
                <w:noProof/>
                <w:webHidden/>
              </w:rPr>
              <w:tab/>
            </w:r>
            <w:r>
              <w:rPr>
                <w:noProof/>
                <w:webHidden/>
              </w:rPr>
              <w:fldChar w:fldCharType="begin"/>
            </w:r>
            <w:r>
              <w:rPr>
                <w:noProof/>
                <w:webHidden/>
              </w:rPr>
              <w:instrText xml:space="preserve"> PAGEREF _Toc172019357 \h </w:instrText>
            </w:r>
            <w:r>
              <w:rPr>
                <w:noProof/>
                <w:webHidden/>
              </w:rPr>
            </w:r>
            <w:r>
              <w:rPr>
                <w:noProof/>
                <w:webHidden/>
              </w:rPr>
              <w:fldChar w:fldCharType="separate"/>
            </w:r>
            <w:r>
              <w:rPr>
                <w:noProof/>
                <w:webHidden/>
              </w:rPr>
              <w:t>29</w:t>
            </w:r>
            <w:r>
              <w:rPr>
                <w:noProof/>
                <w:webHidden/>
              </w:rPr>
              <w:fldChar w:fldCharType="end"/>
            </w:r>
          </w:hyperlink>
        </w:p>
        <w:p w14:paraId="0E6EF1FB" w14:textId="46BDF6E6" w:rsidR="00B36A6D" w:rsidRDefault="00B36A6D">
          <w:pPr>
            <w:pStyle w:val="TOC1"/>
            <w:tabs>
              <w:tab w:val="right" w:leader="dot" w:pos="9016"/>
            </w:tabs>
            <w:rPr>
              <w:rFonts w:eastAsiaTheme="minorEastAsia"/>
              <w:noProof/>
              <w:kern w:val="2"/>
              <w:lang w:eastAsia="en-GB"/>
              <w14:ligatures w14:val="standardContextual"/>
            </w:rPr>
          </w:pPr>
          <w:hyperlink w:anchor="_Toc172019358" w:history="1">
            <w:r w:rsidRPr="006516C4">
              <w:rPr>
                <w:rStyle w:val="Hyperlink"/>
                <w:noProof/>
              </w:rPr>
              <w:t>BUSINESS UNIT, SERVICES, ACTIVITIES AND SUB-ACTIVITIES SUMMARY</w:t>
            </w:r>
            <w:r>
              <w:rPr>
                <w:noProof/>
                <w:webHidden/>
              </w:rPr>
              <w:tab/>
            </w:r>
            <w:r>
              <w:rPr>
                <w:noProof/>
                <w:webHidden/>
              </w:rPr>
              <w:fldChar w:fldCharType="begin"/>
            </w:r>
            <w:r>
              <w:rPr>
                <w:noProof/>
                <w:webHidden/>
              </w:rPr>
              <w:instrText xml:space="preserve"> PAGEREF _Toc172019358 \h </w:instrText>
            </w:r>
            <w:r>
              <w:rPr>
                <w:noProof/>
                <w:webHidden/>
              </w:rPr>
            </w:r>
            <w:r>
              <w:rPr>
                <w:noProof/>
                <w:webHidden/>
              </w:rPr>
              <w:fldChar w:fldCharType="separate"/>
            </w:r>
            <w:r>
              <w:rPr>
                <w:noProof/>
                <w:webHidden/>
              </w:rPr>
              <w:t>29</w:t>
            </w:r>
            <w:r>
              <w:rPr>
                <w:noProof/>
                <w:webHidden/>
              </w:rPr>
              <w:fldChar w:fldCharType="end"/>
            </w:r>
          </w:hyperlink>
        </w:p>
        <w:p w14:paraId="5145E18E" w14:textId="2AD5BCDF" w:rsidR="00B36A6D" w:rsidRDefault="00B36A6D">
          <w:pPr>
            <w:pStyle w:val="TOC1"/>
            <w:tabs>
              <w:tab w:val="right" w:leader="dot" w:pos="9016"/>
            </w:tabs>
            <w:rPr>
              <w:rFonts w:eastAsiaTheme="minorEastAsia"/>
              <w:noProof/>
              <w:kern w:val="2"/>
              <w:lang w:eastAsia="en-GB"/>
              <w14:ligatures w14:val="standardContextual"/>
            </w:rPr>
          </w:pPr>
          <w:hyperlink w:anchor="_Toc172019359" w:history="1">
            <w:r w:rsidRPr="006516C4">
              <w:rPr>
                <w:rStyle w:val="Hyperlink"/>
                <w:noProof/>
              </w:rPr>
              <w:t>APPENDIX B:</w:t>
            </w:r>
            <w:r>
              <w:rPr>
                <w:noProof/>
                <w:webHidden/>
              </w:rPr>
              <w:tab/>
            </w:r>
            <w:r>
              <w:rPr>
                <w:noProof/>
                <w:webHidden/>
              </w:rPr>
              <w:fldChar w:fldCharType="begin"/>
            </w:r>
            <w:r>
              <w:rPr>
                <w:noProof/>
                <w:webHidden/>
              </w:rPr>
              <w:instrText xml:space="preserve"> PAGEREF _Toc172019359 \h </w:instrText>
            </w:r>
            <w:r>
              <w:rPr>
                <w:noProof/>
                <w:webHidden/>
              </w:rPr>
            </w:r>
            <w:r>
              <w:rPr>
                <w:noProof/>
                <w:webHidden/>
              </w:rPr>
              <w:fldChar w:fldCharType="separate"/>
            </w:r>
            <w:r>
              <w:rPr>
                <w:noProof/>
                <w:webHidden/>
              </w:rPr>
              <w:t>30</w:t>
            </w:r>
            <w:r>
              <w:rPr>
                <w:noProof/>
                <w:webHidden/>
              </w:rPr>
              <w:fldChar w:fldCharType="end"/>
            </w:r>
          </w:hyperlink>
        </w:p>
        <w:p w14:paraId="00EAE758" w14:textId="4E0561AE" w:rsidR="00B36A6D" w:rsidRDefault="00B36A6D">
          <w:pPr>
            <w:pStyle w:val="TOC1"/>
            <w:tabs>
              <w:tab w:val="right" w:leader="dot" w:pos="9016"/>
            </w:tabs>
            <w:rPr>
              <w:rFonts w:eastAsiaTheme="minorEastAsia"/>
              <w:noProof/>
              <w:kern w:val="2"/>
              <w:lang w:eastAsia="en-GB"/>
              <w14:ligatures w14:val="standardContextual"/>
            </w:rPr>
          </w:pPr>
          <w:hyperlink w:anchor="_Toc172019360" w:history="1">
            <w:r w:rsidRPr="006516C4">
              <w:rPr>
                <w:rStyle w:val="Hyperlink"/>
                <w:noProof/>
              </w:rPr>
              <w:t>GENERAL LEDGER REPORTING STRUCTURE</w:t>
            </w:r>
            <w:r>
              <w:rPr>
                <w:noProof/>
                <w:webHidden/>
              </w:rPr>
              <w:tab/>
            </w:r>
            <w:r>
              <w:rPr>
                <w:noProof/>
                <w:webHidden/>
              </w:rPr>
              <w:fldChar w:fldCharType="begin"/>
            </w:r>
            <w:r>
              <w:rPr>
                <w:noProof/>
                <w:webHidden/>
              </w:rPr>
              <w:instrText xml:space="preserve"> PAGEREF _Toc172019360 \h </w:instrText>
            </w:r>
            <w:r>
              <w:rPr>
                <w:noProof/>
                <w:webHidden/>
              </w:rPr>
            </w:r>
            <w:r>
              <w:rPr>
                <w:noProof/>
                <w:webHidden/>
              </w:rPr>
              <w:fldChar w:fldCharType="separate"/>
            </w:r>
            <w:r>
              <w:rPr>
                <w:noProof/>
                <w:webHidden/>
              </w:rPr>
              <w:t>30</w:t>
            </w:r>
            <w:r>
              <w:rPr>
                <w:noProof/>
                <w:webHidden/>
              </w:rPr>
              <w:fldChar w:fldCharType="end"/>
            </w:r>
          </w:hyperlink>
        </w:p>
        <w:p w14:paraId="49299B16" w14:textId="4EB9DDE1" w:rsidR="008043B4" w:rsidRDefault="008043B4">
          <w:r>
            <w:rPr>
              <w:b/>
              <w:bCs/>
              <w:noProof/>
            </w:rPr>
            <w:fldChar w:fldCharType="end"/>
          </w:r>
        </w:p>
      </w:sdtContent>
    </w:sdt>
    <w:p w14:paraId="4D2E2466" w14:textId="0ACFE51A" w:rsidR="0031774F" w:rsidRDefault="008043B4" w:rsidP="00FC675C">
      <w:pPr>
        <w:pStyle w:val="Heading2"/>
      </w:pPr>
      <w:r>
        <w:br w:type="page"/>
      </w:r>
    </w:p>
    <w:p w14:paraId="2D65C41E" w14:textId="3C96C11A" w:rsidR="007D1218" w:rsidRPr="007D07FE" w:rsidRDefault="007D1218" w:rsidP="008E5D24">
      <w:pPr>
        <w:pStyle w:val="Heading1"/>
      </w:pPr>
      <w:bookmarkStart w:id="1" w:name="_Toc172019342"/>
      <w:r w:rsidRPr="007D07FE">
        <w:lastRenderedPageBreak/>
        <w:t>OVERVIEW</w:t>
      </w:r>
      <w:bookmarkEnd w:id="1"/>
      <w:r w:rsidRPr="007D07FE">
        <w:tab/>
      </w:r>
      <w:r w:rsidRPr="007D07FE">
        <w:tab/>
      </w:r>
      <w:r w:rsidRPr="007D07FE">
        <w:tab/>
      </w:r>
      <w:r w:rsidRPr="007D07FE">
        <w:tab/>
      </w:r>
      <w:r w:rsidRPr="007D07FE">
        <w:tab/>
      </w:r>
      <w:r w:rsidRPr="007D07FE">
        <w:tab/>
      </w:r>
    </w:p>
    <w:p w14:paraId="34217E5A" w14:textId="77777777" w:rsidR="007D1218" w:rsidRPr="0091297D" w:rsidRDefault="007D1218" w:rsidP="007D1218">
      <w:pPr>
        <w:tabs>
          <w:tab w:val="left" w:pos="720"/>
        </w:tabs>
        <w:overflowPunct w:val="0"/>
        <w:autoSpaceDE w:val="0"/>
        <w:autoSpaceDN w:val="0"/>
        <w:adjustRightInd w:val="0"/>
        <w:textAlignment w:val="baseline"/>
        <w:rPr>
          <w:rFonts w:cs="Arial"/>
          <w:highlight w:val="yellow"/>
          <w:lang w:eastAsia="en-GB"/>
        </w:rPr>
      </w:pPr>
    </w:p>
    <w:p w14:paraId="03F9192B" w14:textId="1A788B14" w:rsidR="007D1218" w:rsidRPr="001F6E91" w:rsidRDefault="007D1218" w:rsidP="009C3ABF">
      <w:pPr>
        <w:pStyle w:val="ListParagraph"/>
        <w:numPr>
          <w:ilvl w:val="1"/>
          <w:numId w:val="4"/>
        </w:numPr>
        <w:ind w:left="567" w:hanging="567"/>
        <w:rPr>
          <w:rFonts w:asciiTheme="minorHAnsi" w:hAnsiTheme="minorHAnsi" w:cs="Arial"/>
          <w:color w:val="000000"/>
          <w:sz w:val="22"/>
          <w:szCs w:val="22"/>
        </w:rPr>
      </w:pPr>
      <w:r w:rsidRPr="001F6E91">
        <w:rPr>
          <w:rFonts w:asciiTheme="minorHAnsi" w:hAnsiTheme="minorHAnsi" w:cs="Arial"/>
          <w:color w:val="000000"/>
          <w:sz w:val="22"/>
          <w:szCs w:val="22"/>
        </w:rPr>
        <w:t>The purpose of this report is to explain the procedures undertaken to produce the 31 March 20</w:t>
      </w:r>
      <w:r>
        <w:rPr>
          <w:rFonts w:asciiTheme="minorHAnsi" w:hAnsiTheme="minorHAnsi" w:cs="Arial"/>
          <w:color w:val="000000"/>
          <w:sz w:val="22"/>
          <w:szCs w:val="22"/>
        </w:rPr>
        <w:t>2</w:t>
      </w:r>
      <w:r w:rsidR="00B37807">
        <w:rPr>
          <w:rFonts w:asciiTheme="minorHAnsi" w:hAnsiTheme="minorHAnsi" w:cs="Arial"/>
          <w:color w:val="000000"/>
          <w:sz w:val="22"/>
          <w:szCs w:val="22"/>
        </w:rPr>
        <w:t>4</w:t>
      </w:r>
      <w:r w:rsidRPr="001F6E91">
        <w:rPr>
          <w:rFonts w:asciiTheme="minorHAnsi" w:hAnsiTheme="minorHAnsi" w:cs="Arial"/>
          <w:color w:val="000000"/>
          <w:sz w:val="22"/>
          <w:szCs w:val="22"/>
        </w:rPr>
        <w:t xml:space="preserve"> Regulatory Accounting Separation tables – Operating cost analysis, capital expenditure and Fixed Asset analysis for the wholesale and retail business units.</w:t>
      </w:r>
    </w:p>
    <w:p w14:paraId="06472B44" w14:textId="77777777" w:rsidR="007D1218" w:rsidRPr="001F6E91" w:rsidRDefault="007D1218" w:rsidP="007D1218">
      <w:pPr>
        <w:pStyle w:val="ListParagraph"/>
        <w:ind w:left="567"/>
        <w:rPr>
          <w:rFonts w:asciiTheme="minorHAnsi" w:hAnsiTheme="minorHAnsi" w:cs="Arial"/>
          <w:color w:val="000000"/>
          <w:sz w:val="22"/>
          <w:szCs w:val="22"/>
        </w:rPr>
      </w:pPr>
    </w:p>
    <w:p w14:paraId="73537C5C" w14:textId="0F40B072" w:rsidR="007D1218" w:rsidRPr="007D07FE" w:rsidRDefault="007D1218" w:rsidP="009C3ABF">
      <w:pPr>
        <w:pStyle w:val="ListParagraph"/>
        <w:numPr>
          <w:ilvl w:val="1"/>
          <w:numId w:val="4"/>
        </w:numPr>
        <w:ind w:left="567" w:hanging="567"/>
        <w:rPr>
          <w:rFonts w:asciiTheme="minorHAnsi" w:hAnsiTheme="minorHAnsi" w:cs="Arial"/>
          <w:color w:val="000000"/>
          <w:sz w:val="22"/>
          <w:szCs w:val="22"/>
        </w:rPr>
      </w:pPr>
      <w:r w:rsidRPr="007D07FE">
        <w:rPr>
          <w:rFonts w:asciiTheme="minorHAnsi" w:hAnsiTheme="minorHAnsi" w:cs="Arial"/>
          <w:color w:val="000000"/>
          <w:sz w:val="22"/>
          <w:szCs w:val="22"/>
        </w:rPr>
        <w:t xml:space="preserve">The tables have been prepared in accordance with Regulatory Accounting Guidelines </w:t>
      </w:r>
      <w:r w:rsidRPr="008B45DA">
        <w:rPr>
          <w:rFonts w:asciiTheme="minorHAnsi" w:hAnsiTheme="minorHAnsi" w:cs="Arial"/>
          <w:color w:val="000000"/>
          <w:sz w:val="22"/>
          <w:szCs w:val="22"/>
        </w:rPr>
        <w:t>(“RAG’s”) 4.</w:t>
      </w:r>
      <w:r w:rsidR="008538F1">
        <w:rPr>
          <w:rFonts w:asciiTheme="minorHAnsi" w:hAnsiTheme="minorHAnsi" w:cs="Arial"/>
          <w:color w:val="000000"/>
          <w:sz w:val="22"/>
          <w:szCs w:val="22"/>
        </w:rPr>
        <w:t>12</w:t>
      </w:r>
      <w:r w:rsidRPr="008B45DA">
        <w:rPr>
          <w:rFonts w:asciiTheme="minorHAnsi" w:hAnsiTheme="minorHAnsi" w:cs="Arial"/>
          <w:color w:val="000000"/>
          <w:sz w:val="22"/>
          <w:szCs w:val="22"/>
        </w:rPr>
        <w:t xml:space="preserve"> </w:t>
      </w:r>
      <w:r w:rsidRPr="007D07FE">
        <w:rPr>
          <w:rFonts w:asciiTheme="minorHAnsi" w:hAnsiTheme="minorHAnsi" w:cs="Arial"/>
          <w:color w:val="000000"/>
          <w:sz w:val="22"/>
          <w:szCs w:val="22"/>
        </w:rPr>
        <w:t xml:space="preserve">effective for the financial year ended 31 March </w:t>
      </w:r>
      <w:r>
        <w:rPr>
          <w:rFonts w:asciiTheme="minorHAnsi" w:hAnsiTheme="minorHAnsi" w:cs="Arial"/>
          <w:color w:val="000000"/>
          <w:sz w:val="22"/>
          <w:szCs w:val="22"/>
        </w:rPr>
        <w:t>202</w:t>
      </w:r>
      <w:r w:rsidR="00B37807">
        <w:rPr>
          <w:rFonts w:asciiTheme="minorHAnsi" w:hAnsiTheme="minorHAnsi" w:cs="Arial"/>
          <w:color w:val="000000"/>
          <w:sz w:val="22"/>
          <w:szCs w:val="22"/>
        </w:rPr>
        <w:t>4</w:t>
      </w:r>
      <w:r w:rsidRPr="007D07FE">
        <w:rPr>
          <w:rFonts w:asciiTheme="minorHAnsi" w:hAnsiTheme="minorHAnsi" w:cs="Arial"/>
          <w:color w:val="000000"/>
          <w:sz w:val="22"/>
          <w:szCs w:val="22"/>
        </w:rPr>
        <w:t xml:space="preserve">.  </w:t>
      </w:r>
    </w:p>
    <w:p w14:paraId="64D6B926" w14:textId="77777777" w:rsidR="007D1218" w:rsidRPr="0091297D" w:rsidRDefault="007D1218" w:rsidP="007D1218">
      <w:pPr>
        <w:pStyle w:val="ListParagraph"/>
        <w:rPr>
          <w:rFonts w:asciiTheme="minorHAnsi" w:hAnsiTheme="minorHAnsi" w:cs="Arial"/>
          <w:color w:val="000000"/>
          <w:sz w:val="22"/>
          <w:szCs w:val="22"/>
          <w:highlight w:val="yellow"/>
        </w:rPr>
      </w:pPr>
    </w:p>
    <w:p w14:paraId="701718EA" w14:textId="021F4E16" w:rsidR="007D1218" w:rsidRDefault="007D1218" w:rsidP="007D1218">
      <w:pPr>
        <w:pStyle w:val="ListParagraph"/>
        <w:numPr>
          <w:ilvl w:val="1"/>
          <w:numId w:val="4"/>
        </w:numPr>
        <w:ind w:left="567" w:hanging="567"/>
        <w:rPr>
          <w:rFonts w:asciiTheme="minorHAnsi" w:hAnsiTheme="minorHAnsi" w:cs="Arial"/>
          <w:color w:val="000000"/>
          <w:sz w:val="22"/>
          <w:szCs w:val="22"/>
        </w:rPr>
      </w:pPr>
      <w:r w:rsidRPr="001F6E91">
        <w:rPr>
          <w:rFonts w:asciiTheme="minorHAnsi" w:hAnsiTheme="minorHAnsi" w:cs="Arial"/>
          <w:color w:val="000000"/>
          <w:sz w:val="22"/>
          <w:szCs w:val="22"/>
        </w:rPr>
        <w:t>The Regulatory Accounts report South West Water’s appointed activities analysed between the ‘Retail’, ‘Clean Water Service’ and ‘Waste Water Service’ business units in respect of the required specific activities and cost categories</w:t>
      </w:r>
      <w:r w:rsidRPr="001F6E91">
        <w:rPr>
          <w:rStyle w:val="FootnoteReference"/>
          <w:rFonts w:asciiTheme="minorHAnsi" w:hAnsiTheme="minorHAnsi" w:cs="Arial"/>
          <w:color w:val="000000"/>
          <w:sz w:val="22"/>
          <w:szCs w:val="22"/>
        </w:rPr>
        <w:footnoteReference w:id="2"/>
      </w:r>
      <w:r w:rsidRPr="001F6E91">
        <w:rPr>
          <w:rFonts w:asciiTheme="minorHAnsi" w:hAnsiTheme="minorHAnsi" w:cs="Arial"/>
          <w:color w:val="000000"/>
          <w:sz w:val="22"/>
          <w:szCs w:val="22"/>
        </w:rPr>
        <w:t xml:space="preserve">.  </w:t>
      </w:r>
    </w:p>
    <w:p w14:paraId="47F89985" w14:textId="77777777" w:rsidR="00C32A4B" w:rsidRPr="00C32A4B" w:rsidRDefault="00C32A4B" w:rsidP="00C32A4B">
      <w:pPr>
        <w:rPr>
          <w:rFonts w:cs="Arial"/>
          <w:color w:val="000000"/>
        </w:rPr>
      </w:pPr>
    </w:p>
    <w:p w14:paraId="4123C491" w14:textId="77777777" w:rsidR="007D1218" w:rsidRPr="007D07FE" w:rsidRDefault="007D1218" w:rsidP="009C3ABF">
      <w:pPr>
        <w:pStyle w:val="ListParagraph"/>
        <w:numPr>
          <w:ilvl w:val="1"/>
          <w:numId w:val="4"/>
        </w:numPr>
        <w:ind w:left="567" w:hanging="567"/>
        <w:rPr>
          <w:rFonts w:asciiTheme="minorHAnsi" w:hAnsiTheme="minorHAnsi" w:cs="Arial"/>
          <w:color w:val="000000"/>
          <w:sz w:val="22"/>
          <w:szCs w:val="22"/>
        </w:rPr>
      </w:pPr>
      <w:r w:rsidRPr="007D07FE">
        <w:rPr>
          <w:rFonts w:asciiTheme="minorHAnsi" w:hAnsiTheme="minorHAnsi" w:cs="Arial"/>
          <w:color w:val="000000"/>
          <w:sz w:val="22"/>
          <w:szCs w:val="22"/>
        </w:rPr>
        <w:t>Whilst these business units are not treated as organisationally separate businesses or separate companies by South West Water, due to more efficient and effective structures being in place to support the management and accountability of the business, there are certain activities which are solely carried out by specific areas of the business.  SWW is gradually modifying its management processes to better reflect the Business Unit reporting requirements.</w:t>
      </w:r>
    </w:p>
    <w:p w14:paraId="1438B663" w14:textId="77777777" w:rsidR="007D1218" w:rsidRPr="0091297D" w:rsidRDefault="007D1218" w:rsidP="007D1218">
      <w:pPr>
        <w:pStyle w:val="ListParagraph"/>
        <w:rPr>
          <w:rFonts w:asciiTheme="minorHAnsi" w:hAnsiTheme="minorHAnsi" w:cs="Arial"/>
          <w:color w:val="000000"/>
          <w:sz w:val="22"/>
          <w:szCs w:val="22"/>
          <w:highlight w:val="yellow"/>
        </w:rPr>
      </w:pPr>
    </w:p>
    <w:p w14:paraId="5EB9A0EC" w14:textId="77777777" w:rsidR="007D1218" w:rsidRPr="009C7892" w:rsidRDefault="007D1218" w:rsidP="009C3ABF">
      <w:pPr>
        <w:pStyle w:val="ListParagraph"/>
        <w:numPr>
          <w:ilvl w:val="1"/>
          <w:numId w:val="4"/>
        </w:numPr>
        <w:ind w:left="567" w:hanging="567"/>
        <w:rPr>
          <w:rFonts w:asciiTheme="minorHAnsi" w:hAnsiTheme="minorHAnsi" w:cs="Arial"/>
          <w:color w:val="000000"/>
          <w:sz w:val="22"/>
          <w:szCs w:val="22"/>
        </w:rPr>
      </w:pPr>
      <w:r>
        <w:rPr>
          <w:rFonts w:asciiTheme="minorHAnsi" w:hAnsiTheme="minorHAnsi" w:cs="Arial"/>
          <w:color w:val="000000"/>
          <w:sz w:val="22"/>
          <w:szCs w:val="22"/>
        </w:rPr>
        <w:t>South West Water Wholesale</w:t>
      </w:r>
      <w:r w:rsidRPr="009C7892">
        <w:rPr>
          <w:rFonts w:asciiTheme="minorHAnsi" w:hAnsiTheme="minorHAnsi" w:cs="Arial"/>
          <w:color w:val="000000"/>
          <w:sz w:val="22"/>
          <w:szCs w:val="22"/>
        </w:rPr>
        <w:t xml:space="preserve"> is currently structured to give separate management structures recognising activities grouped between clean water and waste water, but the activities of many other departments in the company perform functions that provide services across clean water, waste water and retail, and across the business units and activities recognised in the accounting separation tables. </w:t>
      </w:r>
    </w:p>
    <w:p w14:paraId="125F56FA" w14:textId="77777777" w:rsidR="007D1218" w:rsidRPr="0091297D" w:rsidRDefault="007D1218" w:rsidP="007D1218">
      <w:pPr>
        <w:pStyle w:val="ListParagraph"/>
        <w:rPr>
          <w:rFonts w:asciiTheme="minorHAnsi" w:hAnsiTheme="minorHAnsi" w:cs="Arial"/>
          <w:color w:val="000000"/>
          <w:sz w:val="22"/>
          <w:szCs w:val="22"/>
          <w:highlight w:val="yellow"/>
        </w:rPr>
      </w:pPr>
    </w:p>
    <w:p w14:paraId="6E98751B" w14:textId="77777777" w:rsidR="007D1218" w:rsidRPr="0089522F" w:rsidRDefault="007D1218" w:rsidP="009C3ABF">
      <w:pPr>
        <w:pStyle w:val="ListParagraph"/>
        <w:numPr>
          <w:ilvl w:val="1"/>
          <w:numId w:val="4"/>
        </w:numPr>
        <w:ind w:left="567" w:hanging="567"/>
        <w:rPr>
          <w:rFonts w:asciiTheme="minorHAnsi" w:hAnsiTheme="minorHAnsi" w:cs="Arial"/>
          <w:color w:val="000000"/>
          <w:sz w:val="22"/>
          <w:szCs w:val="22"/>
        </w:rPr>
      </w:pPr>
      <w:proofErr w:type="gramStart"/>
      <w:r w:rsidRPr="0089522F">
        <w:rPr>
          <w:rFonts w:asciiTheme="minorHAnsi" w:hAnsiTheme="minorHAnsi" w:cs="Arial"/>
          <w:color w:val="000000"/>
          <w:sz w:val="22"/>
          <w:szCs w:val="22"/>
        </w:rPr>
        <w:t>The majority of</w:t>
      </w:r>
      <w:proofErr w:type="gramEnd"/>
      <w:r w:rsidRPr="0089522F">
        <w:rPr>
          <w:rFonts w:asciiTheme="minorHAnsi" w:hAnsiTheme="minorHAnsi" w:cs="Arial"/>
          <w:color w:val="000000"/>
          <w:sz w:val="22"/>
          <w:szCs w:val="22"/>
        </w:rPr>
        <w:t xml:space="preserve"> our customer services activity within the Retail business unit is either:</w:t>
      </w:r>
    </w:p>
    <w:p w14:paraId="69D1872A" w14:textId="77777777" w:rsidR="007D1218" w:rsidRPr="0089522F" w:rsidRDefault="007D1218" w:rsidP="007D1218">
      <w:pPr>
        <w:pStyle w:val="ListParagraph"/>
        <w:rPr>
          <w:rFonts w:asciiTheme="minorHAnsi" w:hAnsiTheme="minorHAnsi" w:cs="Arial"/>
          <w:color w:val="000000"/>
          <w:sz w:val="22"/>
          <w:szCs w:val="22"/>
        </w:rPr>
      </w:pPr>
    </w:p>
    <w:p w14:paraId="263B47ED" w14:textId="77777777" w:rsidR="007D1218" w:rsidRPr="0089522F" w:rsidRDefault="007D1218" w:rsidP="009C3ABF">
      <w:pPr>
        <w:pStyle w:val="ListParagraph"/>
        <w:numPr>
          <w:ilvl w:val="0"/>
          <w:numId w:val="9"/>
        </w:numPr>
        <w:rPr>
          <w:rFonts w:asciiTheme="minorHAnsi" w:hAnsiTheme="minorHAnsi" w:cs="Arial"/>
          <w:color w:val="000000"/>
          <w:sz w:val="22"/>
          <w:szCs w:val="22"/>
        </w:rPr>
      </w:pPr>
      <w:r w:rsidRPr="0089522F">
        <w:rPr>
          <w:rFonts w:asciiTheme="minorHAnsi" w:hAnsiTheme="minorHAnsi" w:cs="Arial"/>
          <w:color w:val="000000"/>
          <w:sz w:val="22"/>
          <w:szCs w:val="22"/>
        </w:rPr>
        <w:t>Dealt with by Pennon Water Services (a separate company within the Pennon Group) that provides all services to non-household customers, or</w:t>
      </w:r>
    </w:p>
    <w:p w14:paraId="4B4317A1" w14:textId="2E6CAC5E" w:rsidR="007D1218" w:rsidRPr="0089522F" w:rsidRDefault="007D1218" w:rsidP="009C3ABF">
      <w:pPr>
        <w:pStyle w:val="ListParagraph"/>
        <w:numPr>
          <w:ilvl w:val="0"/>
          <w:numId w:val="9"/>
        </w:numPr>
        <w:rPr>
          <w:rFonts w:asciiTheme="minorHAnsi" w:hAnsiTheme="minorHAnsi" w:cs="Arial"/>
          <w:color w:val="000000"/>
          <w:sz w:val="22"/>
          <w:szCs w:val="22"/>
        </w:rPr>
      </w:pPr>
      <w:r w:rsidRPr="0089522F">
        <w:rPr>
          <w:rFonts w:asciiTheme="minorHAnsi" w:hAnsiTheme="minorHAnsi" w:cs="Arial"/>
          <w:color w:val="000000"/>
          <w:sz w:val="22"/>
          <w:szCs w:val="22"/>
        </w:rPr>
        <w:t xml:space="preserve">Is contracted out to </w:t>
      </w:r>
      <w:r w:rsidR="008538F1">
        <w:rPr>
          <w:rFonts w:asciiTheme="minorHAnsi" w:hAnsiTheme="minorHAnsi" w:cs="Arial"/>
          <w:color w:val="000000"/>
          <w:sz w:val="22"/>
          <w:szCs w:val="22"/>
        </w:rPr>
        <w:t xml:space="preserve">South West Water Customer </w:t>
      </w:r>
      <w:proofErr w:type="gramStart"/>
      <w:r w:rsidR="008538F1">
        <w:rPr>
          <w:rFonts w:asciiTheme="minorHAnsi" w:hAnsiTheme="minorHAnsi" w:cs="Arial"/>
          <w:color w:val="000000"/>
          <w:sz w:val="22"/>
          <w:szCs w:val="22"/>
        </w:rPr>
        <w:t xml:space="preserve">Services </w:t>
      </w:r>
      <w:r w:rsidRPr="0089522F">
        <w:rPr>
          <w:rFonts w:asciiTheme="minorHAnsi" w:hAnsiTheme="minorHAnsi" w:cs="Arial"/>
          <w:color w:val="000000"/>
          <w:sz w:val="22"/>
          <w:szCs w:val="22"/>
        </w:rPr>
        <w:t xml:space="preserve"> Limited</w:t>
      </w:r>
      <w:proofErr w:type="gramEnd"/>
      <w:r w:rsidRPr="0089522F">
        <w:rPr>
          <w:rFonts w:asciiTheme="minorHAnsi" w:hAnsiTheme="minorHAnsi" w:cs="Arial"/>
          <w:color w:val="000000"/>
          <w:sz w:val="22"/>
          <w:szCs w:val="22"/>
        </w:rPr>
        <w:t xml:space="preserve"> (“</w:t>
      </w:r>
      <w:r w:rsidR="008538F1">
        <w:rPr>
          <w:rFonts w:asciiTheme="minorHAnsi" w:hAnsiTheme="minorHAnsi" w:cs="Arial"/>
          <w:color w:val="000000"/>
          <w:sz w:val="22"/>
          <w:szCs w:val="22"/>
        </w:rPr>
        <w:t>SWWCS</w:t>
      </w:r>
      <w:r w:rsidRPr="0089522F">
        <w:rPr>
          <w:rFonts w:asciiTheme="minorHAnsi" w:hAnsiTheme="minorHAnsi" w:cs="Arial"/>
          <w:color w:val="000000"/>
          <w:sz w:val="22"/>
          <w:szCs w:val="22"/>
        </w:rPr>
        <w:t xml:space="preserve">”) a wholly owned subsidiary of South West Water.  Related general &amp; support overhead is charged from South West Water to Source. These charges are deducted from the contract cost charged by Source to South West Water in determining direct retail costs and separately assessed in line with this methodology for inclusion within general and support expenditure within the other operating expenditure reporting line. </w:t>
      </w:r>
    </w:p>
    <w:p w14:paraId="67EE4EBB" w14:textId="77777777" w:rsidR="007D1218" w:rsidRPr="0091297D" w:rsidRDefault="007D1218" w:rsidP="007D1218">
      <w:pPr>
        <w:rPr>
          <w:rFonts w:cs="Arial"/>
          <w:color w:val="000000"/>
          <w:highlight w:val="yellow"/>
        </w:rPr>
      </w:pPr>
    </w:p>
    <w:p w14:paraId="3C4F5492" w14:textId="77777777" w:rsidR="007D1218" w:rsidRPr="009C7892" w:rsidRDefault="007D1218" w:rsidP="009C3ABF">
      <w:pPr>
        <w:pStyle w:val="ListParagraph"/>
        <w:numPr>
          <w:ilvl w:val="1"/>
          <w:numId w:val="4"/>
        </w:numPr>
        <w:ind w:left="567" w:hanging="567"/>
        <w:rPr>
          <w:rFonts w:asciiTheme="minorHAnsi" w:hAnsiTheme="minorHAnsi" w:cs="Arial"/>
          <w:color w:val="000000"/>
          <w:sz w:val="22"/>
          <w:szCs w:val="22"/>
        </w:rPr>
      </w:pPr>
      <w:r w:rsidRPr="009C7892">
        <w:rPr>
          <w:rFonts w:asciiTheme="minorHAnsi" w:hAnsiTheme="minorHAnsi" w:cs="Arial"/>
          <w:color w:val="000000"/>
          <w:sz w:val="22"/>
          <w:szCs w:val="22"/>
        </w:rPr>
        <w:t xml:space="preserve">The data hierarchies used in </w:t>
      </w:r>
      <w:proofErr w:type="gramStart"/>
      <w:r w:rsidRPr="009C7892">
        <w:rPr>
          <w:rFonts w:asciiTheme="minorHAnsi" w:hAnsiTheme="minorHAnsi" w:cs="Arial"/>
          <w:color w:val="000000"/>
          <w:sz w:val="22"/>
          <w:szCs w:val="22"/>
        </w:rPr>
        <w:t>South West</w:t>
      </w:r>
      <w:proofErr w:type="gramEnd"/>
      <w:r w:rsidRPr="009C7892">
        <w:rPr>
          <w:rFonts w:asciiTheme="minorHAnsi" w:hAnsiTheme="minorHAnsi" w:cs="Arial"/>
          <w:color w:val="000000"/>
          <w:sz w:val="22"/>
          <w:szCs w:val="22"/>
        </w:rPr>
        <w:t xml:space="preserve"> Water’s financial systems primarily support the management structure of the Company to support accountability and to most effectively analyse performance against budgets, targets or prior periods.  However, the coding used to record financial transactions is designed to also record </w:t>
      </w:r>
      <w:proofErr w:type="gramStart"/>
      <w:r w:rsidRPr="009C7892">
        <w:rPr>
          <w:rFonts w:asciiTheme="minorHAnsi" w:hAnsiTheme="minorHAnsi" w:cs="Arial"/>
          <w:color w:val="000000"/>
          <w:sz w:val="22"/>
          <w:szCs w:val="22"/>
        </w:rPr>
        <w:t>activity based</w:t>
      </w:r>
      <w:proofErr w:type="gramEnd"/>
      <w:r w:rsidRPr="009C7892">
        <w:rPr>
          <w:rFonts w:asciiTheme="minorHAnsi" w:hAnsiTheme="minorHAnsi" w:cs="Arial"/>
          <w:color w:val="000000"/>
          <w:sz w:val="22"/>
          <w:szCs w:val="22"/>
        </w:rPr>
        <w:t xml:space="preserve"> information to support regulatory accounting, particularly in relation to direct costs.</w:t>
      </w:r>
    </w:p>
    <w:p w14:paraId="4A6C2973" w14:textId="77777777" w:rsidR="007D1218" w:rsidRPr="0091297D" w:rsidRDefault="007D1218" w:rsidP="007D1218">
      <w:pPr>
        <w:pStyle w:val="ListParagraph"/>
        <w:rPr>
          <w:rFonts w:asciiTheme="minorHAnsi" w:hAnsiTheme="minorHAnsi" w:cs="Arial"/>
          <w:color w:val="000000"/>
          <w:sz w:val="22"/>
          <w:szCs w:val="22"/>
          <w:highlight w:val="yellow"/>
        </w:rPr>
      </w:pPr>
    </w:p>
    <w:p w14:paraId="327EF466" w14:textId="77777777" w:rsidR="007D1218" w:rsidRPr="0023064B" w:rsidRDefault="007D1218" w:rsidP="009C3ABF">
      <w:pPr>
        <w:pStyle w:val="ListParagraph"/>
        <w:numPr>
          <w:ilvl w:val="1"/>
          <w:numId w:val="4"/>
        </w:numPr>
        <w:ind w:left="567" w:hanging="567"/>
        <w:rPr>
          <w:rFonts w:asciiTheme="minorHAnsi" w:hAnsiTheme="minorHAnsi" w:cs="Arial"/>
          <w:color w:val="000000"/>
          <w:sz w:val="22"/>
          <w:szCs w:val="22"/>
        </w:rPr>
      </w:pPr>
      <w:proofErr w:type="gramStart"/>
      <w:r w:rsidRPr="0023064B">
        <w:rPr>
          <w:rFonts w:asciiTheme="minorHAnsi" w:hAnsiTheme="minorHAnsi" w:cs="Arial"/>
          <w:color w:val="000000"/>
          <w:sz w:val="22"/>
          <w:szCs w:val="22"/>
        </w:rPr>
        <w:t>South West</w:t>
      </w:r>
      <w:proofErr w:type="gramEnd"/>
      <w:r w:rsidRPr="0023064B">
        <w:rPr>
          <w:rFonts w:asciiTheme="minorHAnsi" w:hAnsiTheme="minorHAnsi" w:cs="Arial"/>
          <w:color w:val="000000"/>
          <w:sz w:val="22"/>
          <w:szCs w:val="22"/>
        </w:rPr>
        <w:t xml:space="preserve"> Water does not have a formal activity based costing system, but it does have existing and established processes to allocate operating costs, capital maintenance costs and fixed assets to the separate service areas used to populate the accounting separation tables.  </w:t>
      </w:r>
    </w:p>
    <w:p w14:paraId="4B72BBCE" w14:textId="77777777" w:rsidR="007D1218" w:rsidRPr="0091297D" w:rsidRDefault="007D1218" w:rsidP="007D1218">
      <w:pPr>
        <w:pStyle w:val="ListParagraph"/>
        <w:ind w:left="567"/>
        <w:rPr>
          <w:rFonts w:asciiTheme="minorHAnsi" w:hAnsiTheme="minorHAnsi" w:cs="Arial"/>
          <w:color w:val="000000"/>
          <w:sz w:val="22"/>
          <w:szCs w:val="22"/>
          <w:highlight w:val="yellow"/>
        </w:rPr>
      </w:pPr>
    </w:p>
    <w:p w14:paraId="0B9BA402" w14:textId="77777777" w:rsidR="007D1218" w:rsidRPr="0023064B" w:rsidRDefault="007D1218" w:rsidP="009C3ABF">
      <w:pPr>
        <w:pStyle w:val="ListParagraph"/>
        <w:numPr>
          <w:ilvl w:val="1"/>
          <w:numId w:val="4"/>
        </w:numPr>
        <w:ind w:left="567" w:hanging="567"/>
        <w:rPr>
          <w:rFonts w:asciiTheme="minorHAnsi" w:hAnsiTheme="minorHAnsi" w:cs="Arial"/>
          <w:color w:val="000000"/>
          <w:sz w:val="22"/>
          <w:szCs w:val="22"/>
        </w:rPr>
      </w:pPr>
      <w:r w:rsidRPr="0023064B">
        <w:rPr>
          <w:rFonts w:asciiTheme="minorHAnsi" w:hAnsiTheme="minorHAnsi" w:cs="Arial"/>
          <w:color w:val="000000"/>
          <w:sz w:val="22"/>
          <w:szCs w:val="22"/>
        </w:rPr>
        <w:lastRenderedPageBreak/>
        <w:t xml:space="preserve">As the business units and services identified in the accounting separation tables are not organisationally separated in </w:t>
      </w:r>
      <w:proofErr w:type="gramStart"/>
      <w:r w:rsidRPr="0023064B">
        <w:rPr>
          <w:rFonts w:asciiTheme="minorHAnsi" w:hAnsiTheme="minorHAnsi" w:cs="Arial"/>
          <w:color w:val="000000"/>
          <w:sz w:val="22"/>
          <w:szCs w:val="22"/>
        </w:rPr>
        <w:t>South West</w:t>
      </w:r>
      <w:proofErr w:type="gramEnd"/>
      <w:r w:rsidRPr="0023064B">
        <w:rPr>
          <w:rFonts w:asciiTheme="minorHAnsi" w:hAnsiTheme="minorHAnsi" w:cs="Arial"/>
          <w:color w:val="000000"/>
          <w:sz w:val="22"/>
          <w:szCs w:val="22"/>
        </w:rPr>
        <w:t xml:space="preserve"> Water they do not have their own separate management and support functions and they do not trade with one another.  To represent them as distinct cost centres and asset centres requires the allocation of costs and assets to them.  Where no direct allocation is possible, some subjective judgment is required. The resulting costs reported for these business units do not necessarily represent what the costs would be if they were operated as separate business units.</w:t>
      </w:r>
    </w:p>
    <w:p w14:paraId="6CEF8FDB" w14:textId="77777777" w:rsidR="007D1218" w:rsidRPr="0091297D" w:rsidRDefault="007D1218" w:rsidP="007D1218">
      <w:pPr>
        <w:rPr>
          <w:rFonts w:cs="Arial"/>
          <w:color w:val="000000"/>
          <w:highlight w:val="yellow"/>
        </w:rPr>
      </w:pPr>
    </w:p>
    <w:p w14:paraId="3D6EA810" w14:textId="70CBDD93" w:rsidR="007D1218" w:rsidRPr="0023064B" w:rsidRDefault="007D1218" w:rsidP="009C3ABF">
      <w:pPr>
        <w:pStyle w:val="ListParagraph"/>
        <w:numPr>
          <w:ilvl w:val="1"/>
          <w:numId w:val="4"/>
        </w:numPr>
        <w:ind w:left="567" w:hanging="567"/>
        <w:rPr>
          <w:rFonts w:asciiTheme="minorHAnsi" w:hAnsiTheme="minorHAnsi" w:cs="Arial"/>
          <w:color w:val="000000"/>
          <w:sz w:val="22"/>
          <w:szCs w:val="22"/>
        </w:rPr>
      </w:pPr>
      <w:r w:rsidRPr="0023064B">
        <w:rPr>
          <w:rFonts w:asciiTheme="minorHAnsi" w:hAnsiTheme="minorHAnsi" w:cs="Arial"/>
          <w:color w:val="000000"/>
          <w:sz w:val="22"/>
          <w:szCs w:val="22"/>
        </w:rPr>
        <w:t>For direct retail costs, a large proportion of costs are separately identifiable from the S</w:t>
      </w:r>
      <w:r w:rsidR="008538F1">
        <w:rPr>
          <w:rFonts w:asciiTheme="minorHAnsi" w:hAnsiTheme="minorHAnsi" w:cs="Arial"/>
          <w:color w:val="000000"/>
          <w:sz w:val="22"/>
          <w:szCs w:val="22"/>
        </w:rPr>
        <w:t>WWCS</w:t>
      </w:r>
      <w:r w:rsidRPr="0023064B">
        <w:rPr>
          <w:rFonts w:asciiTheme="minorHAnsi" w:hAnsiTheme="minorHAnsi" w:cs="Arial"/>
          <w:color w:val="000000"/>
          <w:sz w:val="22"/>
          <w:szCs w:val="22"/>
        </w:rPr>
        <w:t xml:space="preserve"> charges. Allocations are only required between retail activities.</w:t>
      </w:r>
    </w:p>
    <w:p w14:paraId="5932500B" w14:textId="77777777" w:rsidR="007D1218" w:rsidRPr="0091297D" w:rsidRDefault="007D1218" w:rsidP="007D1218">
      <w:pPr>
        <w:pStyle w:val="ListParagraph"/>
        <w:ind w:left="567"/>
        <w:rPr>
          <w:rFonts w:asciiTheme="minorHAnsi" w:hAnsiTheme="minorHAnsi" w:cs="Arial"/>
          <w:color w:val="000000"/>
          <w:sz w:val="22"/>
          <w:szCs w:val="22"/>
          <w:highlight w:val="yellow"/>
        </w:rPr>
      </w:pPr>
    </w:p>
    <w:p w14:paraId="7A3594DA" w14:textId="77777777" w:rsidR="007D1218" w:rsidRPr="003C15EC" w:rsidRDefault="007D1218" w:rsidP="009C3ABF">
      <w:pPr>
        <w:pStyle w:val="ListParagraph"/>
        <w:numPr>
          <w:ilvl w:val="1"/>
          <w:numId w:val="4"/>
        </w:numPr>
        <w:ind w:left="567" w:hanging="567"/>
        <w:rPr>
          <w:rFonts w:asciiTheme="minorHAnsi" w:hAnsiTheme="minorHAnsi" w:cs="Arial"/>
          <w:color w:val="000000"/>
          <w:sz w:val="22"/>
          <w:szCs w:val="22"/>
        </w:rPr>
      </w:pPr>
      <w:r w:rsidRPr="003C15EC">
        <w:rPr>
          <w:rFonts w:asciiTheme="minorHAnsi" w:hAnsiTheme="minorHAnsi" w:cs="Arial"/>
          <w:color w:val="000000"/>
          <w:sz w:val="22"/>
          <w:szCs w:val="22"/>
        </w:rPr>
        <w:t xml:space="preserve">The analysis of direct costs for the wholesale business is essentially obtained from the expense type of the underlying cost (for example employment costs, power, and service charges). These costs are directly identifiable from the way costs are coded in the general ledger.  The direct cost analysis for retail contains further division of cost by activity (for example customer service, debt management, meter reading) with the cost being dominated by employment costs for staff who may work across </w:t>
      </w:r>
      <w:proofErr w:type="gramStart"/>
      <w:r w:rsidRPr="003C15EC">
        <w:rPr>
          <w:rFonts w:asciiTheme="minorHAnsi" w:hAnsiTheme="minorHAnsi" w:cs="Arial"/>
          <w:color w:val="000000"/>
          <w:sz w:val="22"/>
          <w:szCs w:val="22"/>
        </w:rPr>
        <w:t>a number of</w:t>
      </w:r>
      <w:proofErr w:type="gramEnd"/>
      <w:r w:rsidRPr="003C15EC">
        <w:rPr>
          <w:rFonts w:asciiTheme="minorHAnsi" w:hAnsiTheme="minorHAnsi" w:cs="Arial"/>
          <w:color w:val="000000"/>
          <w:sz w:val="22"/>
          <w:szCs w:val="22"/>
        </w:rPr>
        <w:t xml:space="preserve"> different activities.  </w:t>
      </w:r>
    </w:p>
    <w:p w14:paraId="749C6DBF" w14:textId="77777777" w:rsidR="007D1218" w:rsidRPr="003C15EC" w:rsidRDefault="007D1218" w:rsidP="007D1218">
      <w:pPr>
        <w:pStyle w:val="ListParagraph"/>
        <w:ind w:left="567"/>
        <w:rPr>
          <w:rFonts w:asciiTheme="minorHAnsi" w:hAnsiTheme="minorHAnsi" w:cs="Arial"/>
          <w:color w:val="000000"/>
          <w:sz w:val="22"/>
          <w:szCs w:val="22"/>
        </w:rPr>
      </w:pPr>
    </w:p>
    <w:p w14:paraId="302B30A6" w14:textId="77777777" w:rsidR="007D1218" w:rsidRPr="003C15EC" w:rsidRDefault="007D1218" w:rsidP="009C3ABF">
      <w:pPr>
        <w:pStyle w:val="ListParagraph"/>
        <w:numPr>
          <w:ilvl w:val="1"/>
          <w:numId w:val="4"/>
        </w:numPr>
        <w:ind w:left="567" w:hanging="567"/>
        <w:rPr>
          <w:rFonts w:asciiTheme="minorHAnsi" w:hAnsiTheme="minorHAnsi" w:cs="Arial"/>
          <w:color w:val="000000"/>
          <w:sz w:val="22"/>
          <w:szCs w:val="22"/>
        </w:rPr>
      </w:pPr>
      <w:r w:rsidRPr="003C15EC">
        <w:rPr>
          <w:rFonts w:asciiTheme="minorHAnsi" w:hAnsiTheme="minorHAnsi" w:cs="Arial"/>
          <w:color w:val="000000"/>
          <w:sz w:val="22"/>
          <w:szCs w:val="22"/>
        </w:rPr>
        <w:t xml:space="preserve">The company has extracted the necessary fixed asset information from its existing fixed asset records and has performed validation and re-analysis where it has seen opportunities within these data sources to improve the quality of the information to be entered on the tables.  </w:t>
      </w:r>
    </w:p>
    <w:p w14:paraId="03F61851" w14:textId="77777777" w:rsidR="007D1218" w:rsidRPr="0091297D" w:rsidRDefault="007D1218" w:rsidP="007D1218">
      <w:pPr>
        <w:rPr>
          <w:rFonts w:cs="Arial"/>
          <w:color w:val="000000"/>
          <w:highlight w:val="yellow"/>
        </w:rPr>
      </w:pPr>
    </w:p>
    <w:p w14:paraId="130F7DE5" w14:textId="3995525D" w:rsidR="007D1218" w:rsidRPr="003C15EC" w:rsidRDefault="007D1218" w:rsidP="009C3ABF">
      <w:pPr>
        <w:pStyle w:val="ListParagraph"/>
        <w:numPr>
          <w:ilvl w:val="1"/>
          <w:numId w:val="4"/>
        </w:numPr>
        <w:ind w:left="567" w:hanging="567"/>
        <w:rPr>
          <w:rFonts w:asciiTheme="minorHAnsi" w:hAnsiTheme="minorHAnsi" w:cs="Arial"/>
          <w:color w:val="000000"/>
          <w:sz w:val="22"/>
          <w:szCs w:val="22"/>
        </w:rPr>
      </w:pPr>
      <w:r w:rsidRPr="003C15EC">
        <w:rPr>
          <w:rFonts w:asciiTheme="minorHAnsi" w:hAnsiTheme="minorHAnsi" w:cs="Arial"/>
          <w:color w:val="000000"/>
          <w:sz w:val="22"/>
          <w:szCs w:val="22"/>
        </w:rPr>
        <w:t xml:space="preserve">The responsibility for the compilation of the accounting separation tables and methodologies lies with the </w:t>
      </w:r>
      <w:r w:rsidR="008538F1">
        <w:rPr>
          <w:rFonts w:asciiTheme="minorHAnsi" w:hAnsiTheme="minorHAnsi" w:cs="Arial"/>
          <w:color w:val="000000"/>
          <w:sz w:val="22"/>
          <w:szCs w:val="22"/>
        </w:rPr>
        <w:t>Chief Financial Officer of the Pennon Group.</w:t>
      </w:r>
    </w:p>
    <w:p w14:paraId="545D82F2" w14:textId="77777777" w:rsidR="007D1218" w:rsidRPr="0091297D" w:rsidRDefault="007D1218" w:rsidP="007D1218">
      <w:pPr>
        <w:pStyle w:val="ListParagraph"/>
        <w:ind w:left="567"/>
        <w:rPr>
          <w:rFonts w:asciiTheme="minorHAnsi" w:hAnsiTheme="minorHAnsi" w:cs="Arial"/>
          <w:color w:val="000000"/>
          <w:sz w:val="22"/>
          <w:szCs w:val="22"/>
          <w:highlight w:val="yellow"/>
        </w:rPr>
      </w:pPr>
    </w:p>
    <w:p w14:paraId="22756611" w14:textId="15151342" w:rsidR="007D1218" w:rsidRPr="00B157B0" w:rsidRDefault="007D1218" w:rsidP="009C3ABF">
      <w:pPr>
        <w:pStyle w:val="ListParagraph"/>
        <w:numPr>
          <w:ilvl w:val="1"/>
          <w:numId w:val="4"/>
        </w:numPr>
        <w:ind w:left="567" w:hanging="567"/>
        <w:rPr>
          <w:rFonts w:asciiTheme="minorHAnsi" w:hAnsiTheme="minorHAnsi" w:cs="Arial"/>
          <w:color w:val="000000"/>
          <w:sz w:val="22"/>
          <w:szCs w:val="22"/>
        </w:rPr>
      </w:pPr>
      <w:r w:rsidRPr="00B157B0">
        <w:rPr>
          <w:rFonts w:asciiTheme="minorHAnsi" w:hAnsiTheme="minorHAnsi" w:cs="Arial"/>
          <w:color w:val="000000"/>
          <w:sz w:val="22"/>
          <w:szCs w:val="22"/>
        </w:rPr>
        <w:t xml:space="preserve">Within </w:t>
      </w:r>
      <w:proofErr w:type="gramStart"/>
      <w:r w:rsidRPr="00B157B0">
        <w:rPr>
          <w:rFonts w:asciiTheme="minorHAnsi" w:hAnsiTheme="minorHAnsi" w:cs="Arial"/>
          <w:color w:val="000000"/>
          <w:sz w:val="22"/>
          <w:szCs w:val="22"/>
        </w:rPr>
        <w:t>South West</w:t>
      </w:r>
      <w:proofErr w:type="gramEnd"/>
      <w:r w:rsidRPr="00B157B0">
        <w:rPr>
          <w:rFonts w:asciiTheme="minorHAnsi" w:hAnsiTheme="minorHAnsi" w:cs="Arial"/>
          <w:color w:val="000000"/>
          <w:sz w:val="22"/>
          <w:szCs w:val="22"/>
        </w:rPr>
        <w:t xml:space="preserve"> Water each area of the business is assigned a suitably qualified and experienced Finance Manager to support reporting, analysis and governance.  The Managers assigned to the </w:t>
      </w:r>
      <w:r>
        <w:rPr>
          <w:rFonts w:asciiTheme="minorHAnsi" w:hAnsiTheme="minorHAnsi" w:cs="Arial"/>
          <w:color w:val="000000"/>
          <w:sz w:val="22"/>
          <w:szCs w:val="22"/>
        </w:rPr>
        <w:t>Drinking Water Services and Waste Water Services</w:t>
      </w:r>
      <w:r w:rsidRPr="00B157B0">
        <w:rPr>
          <w:rFonts w:asciiTheme="minorHAnsi" w:hAnsiTheme="minorHAnsi" w:cs="Arial"/>
          <w:color w:val="000000"/>
          <w:sz w:val="22"/>
          <w:szCs w:val="22"/>
        </w:rPr>
        <w:t xml:space="preserve"> report to the Head of </w:t>
      </w:r>
      <w:r w:rsidR="008538F1">
        <w:rPr>
          <w:rFonts w:asciiTheme="minorHAnsi" w:hAnsiTheme="minorHAnsi" w:cs="Arial"/>
          <w:color w:val="000000"/>
          <w:sz w:val="22"/>
          <w:szCs w:val="22"/>
        </w:rPr>
        <w:t>Business Reporting and Analysis.</w:t>
      </w:r>
      <w:r w:rsidRPr="00B157B0">
        <w:rPr>
          <w:rFonts w:asciiTheme="minorHAnsi" w:hAnsiTheme="minorHAnsi" w:cs="Arial"/>
          <w:color w:val="000000"/>
          <w:sz w:val="22"/>
          <w:szCs w:val="22"/>
        </w:rPr>
        <w:t xml:space="preserve">  Those compiling the accounting separation information and data tables liaise with Finance Managers and Functional Managers throughout the business </w:t>
      </w:r>
      <w:proofErr w:type="gramStart"/>
      <w:r w:rsidRPr="00B157B0">
        <w:rPr>
          <w:rFonts w:asciiTheme="minorHAnsi" w:hAnsiTheme="minorHAnsi" w:cs="Arial"/>
          <w:color w:val="000000"/>
          <w:sz w:val="22"/>
          <w:szCs w:val="22"/>
        </w:rPr>
        <w:t>in order to</w:t>
      </w:r>
      <w:proofErr w:type="gramEnd"/>
      <w:r w:rsidRPr="00B157B0">
        <w:rPr>
          <w:rFonts w:asciiTheme="minorHAnsi" w:hAnsiTheme="minorHAnsi" w:cs="Arial"/>
          <w:color w:val="000000"/>
          <w:sz w:val="22"/>
          <w:szCs w:val="22"/>
        </w:rPr>
        <w:t xml:space="preserve"> gather and understand data that supports allocations and apportionments and to ensure that appropriate review/ sign-off procedures are in place to support allocations and apportionments.  </w:t>
      </w:r>
    </w:p>
    <w:p w14:paraId="0CD96016" w14:textId="77777777" w:rsidR="007D1218" w:rsidRPr="00B157B0" w:rsidRDefault="007D1218" w:rsidP="007D1218">
      <w:pPr>
        <w:rPr>
          <w:rFonts w:cs="Arial"/>
          <w:color w:val="000000"/>
        </w:rPr>
      </w:pPr>
    </w:p>
    <w:p w14:paraId="0A47F187" w14:textId="77777777" w:rsidR="007D1218" w:rsidRPr="00B157B0" w:rsidRDefault="007D1218" w:rsidP="009C3ABF">
      <w:pPr>
        <w:pStyle w:val="ListParagraph"/>
        <w:numPr>
          <w:ilvl w:val="1"/>
          <w:numId w:val="4"/>
        </w:numPr>
        <w:ind w:left="567" w:hanging="567"/>
        <w:rPr>
          <w:rFonts w:asciiTheme="minorHAnsi" w:hAnsiTheme="minorHAnsi" w:cs="Arial"/>
          <w:color w:val="000000"/>
          <w:sz w:val="22"/>
          <w:szCs w:val="22"/>
        </w:rPr>
      </w:pPr>
      <w:r w:rsidRPr="00B157B0">
        <w:rPr>
          <w:rFonts w:asciiTheme="minorHAnsi" w:hAnsiTheme="minorHAnsi" w:cs="Arial"/>
          <w:color w:val="000000"/>
          <w:sz w:val="22"/>
          <w:szCs w:val="22"/>
        </w:rPr>
        <w:t>Final review of the tables is undertaken in conjunction with the relevant Senior Managers.</w:t>
      </w:r>
    </w:p>
    <w:p w14:paraId="0509911A" w14:textId="77777777" w:rsidR="007D1218" w:rsidRPr="00B157B0" w:rsidRDefault="007D1218" w:rsidP="007D1218">
      <w:pPr>
        <w:pStyle w:val="ListParagraph"/>
        <w:rPr>
          <w:rFonts w:asciiTheme="minorHAnsi" w:hAnsiTheme="minorHAnsi" w:cs="Arial"/>
          <w:color w:val="000000"/>
          <w:sz w:val="22"/>
          <w:szCs w:val="22"/>
        </w:rPr>
      </w:pPr>
    </w:p>
    <w:p w14:paraId="7FF1637F" w14:textId="7007FD9E" w:rsidR="00BA51E2" w:rsidRDefault="007D1218" w:rsidP="00BA51E2">
      <w:pPr>
        <w:pStyle w:val="ListParagraph"/>
        <w:numPr>
          <w:ilvl w:val="1"/>
          <w:numId w:val="4"/>
        </w:numPr>
        <w:ind w:left="567" w:hanging="567"/>
        <w:rPr>
          <w:rFonts w:asciiTheme="minorHAnsi" w:hAnsiTheme="minorHAnsi" w:cs="Arial"/>
          <w:color w:val="000000"/>
          <w:sz w:val="22"/>
          <w:szCs w:val="22"/>
        </w:rPr>
      </w:pPr>
      <w:r w:rsidRPr="00B157B0">
        <w:rPr>
          <w:rFonts w:asciiTheme="minorHAnsi" w:hAnsiTheme="minorHAnsi" w:cs="Arial"/>
          <w:color w:val="000000"/>
          <w:sz w:val="22"/>
          <w:szCs w:val="22"/>
        </w:rPr>
        <w:t xml:space="preserve">In preparing the information required for the accounting separation tables the company has developed a cost allocation model as well as adapting, and extending, where necessary, the existing and well-established processes to allocate operating costs, capital expenditure costs and fixed assets to separate service areas. </w:t>
      </w:r>
    </w:p>
    <w:p w14:paraId="083083E6" w14:textId="77777777" w:rsidR="00BA51E2" w:rsidRPr="00BA51E2" w:rsidRDefault="00BA51E2" w:rsidP="00BA51E2">
      <w:pPr>
        <w:rPr>
          <w:rFonts w:cs="Arial"/>
          <w:color w:val="000000"/>
        </w:rPr>
      </w:pPr>
    </w:p>
    <w:p w14:paraId="1855C799" w14:textId="77777777" w:rsidR="007D1218" w:rsidRPr="00D6609B" w:rsidRDefault="007D1218" w:rsidP="009C3ABF">
      <w:pPr>
        <w:pStyle w:val="ListParagraph"/>
        <w:numPr>
          <w:ilvl w:val="1"/>
          <w:numId w:val="4"/>
        </w:numPr>
        <w:ind w:left="567" w:hanging="567"/>
        <w:rPr>
          <w:rFonts w:asciiTheme="minorHAnsi" w:hAnsiTheme="minorHAnsi" w:cs="Arial"/>
          <w:color w:val="000000"/>
          <w:sz w:val="22"/>
          <w:szCs w:val="22"/>
        </w:rPr>
      </w:pPr>
      <w:r w:rsidRPr="00B157B0">
        <w:rPr>
          <w:rFonts w:asciiTheme="minorHAnsi" w:hAnsiTheme="minorHAnsi" w:cs="Arial"/>
          <w:color w:val="000000"/>
          <w:sz w:val="22"/>
          <w:szCs w:val="22"/>
        </w:rPr>
        <w:t xml:space="preserve">The company has a well-defined basis for allocating directly related general and support costs, for example vehicles which are allocated to specific individuals’ cost </w:t>
      </w:r>
      <w:r>
        <w:rPr>
          <w:rFonts w:asciiTheme="minorHAnsi" w:hAnsiTheme="minorHAnsi" w:cs="Arial"/>
          <w:color w:val="000000"/>
          <w:sz w:val="22"/>
          <w:szCs w:val="22"/>
        </w:rPr>
        <w:t xml:space="preserve">centres. </w:t>
      </w:r>
      <w:r w:rsidRPr="00D6609B">
        <w:rPr>
          <w:rFonts w:asciiTheme="minorHAnsi" w:hAnsiTheme="minorHAnsi" w:cs="Arial"/>
          <w:color w:val="000000"/>
          <w:sz w:val="22"/>
          <w:szCs w:val="22"/>
        </w:rPr>
        <w:t xml:space="preserve"> Where there are elements of business support and corporate costs which have no obvious connection to operational activities (and which do not increase or reduce in line with the level of operational activities) business experience has been used to select the most appropriate method of allocation.   </w:t>
      </w:r>
    </w:p>
    <w:p w14:paraId="2DD6F38D" w14:textId="77777777" w:rsidR="007D1218" w:rsidRPr="0091297D" w:rsidRDefault="007D1218" w:rsidP="007D1218">
      <w:pPr>
        <w:rPr>
          <w:rFonts w:cs="Arial"/>
          <w:highlight w:val="yellow"/>
        </w:rPr>
      </w:pPr>
    </w:p>
    <w:p w14:paraId="2A4A4031" w14:textId="77777777" w:rsidR="007D1218" w:rsidRPr="00B157B0" w:rsidRDefault="007D1218" w:rsidP="009C3ABF">
      <w:pPr>
        <w:pStyle w:val="ListParagraph"/>
        <w:numPr>
          <w:ilvl w:val="1"/>
          <w:numId w:val="4"/>
        </w:numPr>
        <w:ind w:left="567" w:hanging="567"/>
        <w:rPr>
          <w:rFonts w:asciiTheme="minorHAnsi" w:hAnsiTheme="minorHAnsi" w:cs="Arial"/>
          <w:sz w:val="22"/>
          <w:szCs w:val="22"/>
        </w:rPr>
      </w:pPr>
      <w:r w:rsidRPr="00B157B0">
        <w:rPr>
          <w:rFonts w:asciiTheme="minorHAnsi" w:hAnsiTheme="minorHAnsi" w:cs="Arial"/>
          <w:color w:val="000000"/>
          <w:sz w:val="22"/>
          <w:szCs w:val="22"/>
        </w:rPr>
        <w:lastRenderedPageBreak/>
        <w:t xml:space="preserve">The allocation of operating costs within South West Water to specific service areas within the appointed and non-appointed business is based on activity analysis and principles which result in both direct and support costs being apportioned where not directly attributed. Activity levels between individual services between appointed and non-appointed segments are ascertained by reference to time allocations by individual employees along with other allocation basis in accordance </w:t>
      </w:r>
      <w:proofErr w:type="gramStart"/>
      <w:r w:rsidRPr="00B157B0">
        <w:rPr>
          <w:rFonts w:asciiTheme="minorHAnsi" w:hAnsiTheme="minorHAnsi" w:cs="Arial"/>
          <w:color w:val="000000"/>
          <w:sz w:val="22"/>
          <w:szCs w:val="22"/>
        </w:rPr>
        <w:t>to</w:t>
      </w:r>
      <w:proofErr w:type="gramEnd"/>
      <w:r w:rsidRPr="00B157B0">
        <w:rPr>
          <w:rFonts w:asciiTheme="minorHAnsi" w:hAnsiTheme="minorHAnsi" w:cs="Arial"/>
          <w:color w:val="000000"/>
          <w:sz w:val="22"/>
          <w:szCs w:val="22"/>
        </w:rPr>
        <w:t xml:space="preserve"> the underlying nature of resource utilisation.</w:t>
      </w:r>
    </w:p>
    <w:p w14:paraId="7D8D54B7" w14:textId="77777777" w:rsidR="007D1218" w:rsidRPr="0091297D" w:rsidRDefault="007D1218" w:rsidP="007D1218">
      <w:pPr>
        <w:pStyle w:val="ListParagraph"/>
        <w:rPr>
          <w:rFonts w:asciiTheme="minorHAnsi" w:hAnsiTheme="minorHAnsi" w:cs="Arial"/>
          <w:sz w:val="22"/>
          <w:szCs w:val="22"/>
          <w:highlight w:val="yellow"/>
        </w:rPr>
      </w:pPr>
    </w:p>
    <w:p w14:paraId="31F7E42C" w14:textId="77777777" w:rsidR="007D1218" w:rsidRPr="00B157B0" w:rsidRDefault="007D1218" w:rsidP="009C3ABF">
      <w:pPr>
        <w:pStyle w:val="ListParagraph"/>
        <w:numPr>
          <w:ilvl w:val="1"/>
          <w:numId w:val="4"/>
        </w:numPr>
        <w:ind w:left="567" w:hanging="567"/>
        <w:rPr>
          <w:rFonts w:asciiTheme="minorHAnsi" w:hAnsiTheme="minorHAnsi" w:cs="Arial"/>
          <w:sz w:val="22"/>
          <w:szCs w:val="22"/>
        </w:rPr>
      </w:pPr>
      <w:r w:rsidRPr="00B157B0">
        <w:rPr>
          <w:rFonts w:asciiTheme="minorHAnsi" w:hAnsiTheme="minorHAnsi" w:cs="Arial"/>
          <w:sz w:val="22"/>
          <w:szCs w:val="22"/>
        </w:rPr>
        <w:t xml:space="preserve">Where such a detailed approach is not applicable, costs are apportioned pro rata to either relevant elements of direct cost or </w:t>
      </w:r>
      <w:proofErr w:type="gramStart"/>
      <w:r w:rsidRPr="00B157B0">
        <w:rPr>
          <w:rFonts w:asciiTheme="minorHAnsi" w:hAnsiTheme="minorHAnsi" w:cs="Arial"/>
          <w:sz w:val="22"/>
          <w:szCs w:val="22"/>
        </w:rPr>
        <w:t>FTE’s</w:t>
      </w:r>
      <w:proofErr w:type="gramEnd"/>
      <w:r w:rsidRPr="00B157B0">
        <w:rPr>
          <w:rFonts w:asciiTheme="minorHAnsi" w:hAnsiTheme="minorHAnsi" w:cs="Arial"/>
          <w:sz w:val="22"/>
          <w:szCs w:val="22"/>
        </w:rPr>
        <w:t xml:space="preserve"> for each principal service.</w:t>
      </w:r>
    </w:p>
    <w:p w14:paraId="0DF930D9" w14:textId="77777777" w:rsidR="007D1218" w:rsidRPr="00291A14" w:rsidRDefault="007D1218" w:rsidP="007D1218">
      <w:pPr>
        <w:pStyle w:val="ListParagraph"/>
        <w:ind w:left="567"/>
        <w:rPr>
          <w:rFonts w:asciiTheme="minorHAnsi" w:hAnsiTheme="minorHAnsi" w:cs="Arial"/>
          <w:color w:val="000000"/>
          <w:sz w:val="22"/>
          <w:szCs w:val="22"/>
        </w:rPr>
      </w:pPr>
    </w:p>
    <w:p w14:paraId="2BD3A589" w14:textId="77777777" w:rsidR="007D1218" w:rsidRPr="00291A14" w:rsidRDefault="007D1218" w:rsidP="009C3ABF">
      <w:pPr>
        <w:pStyle w:val="ListParagraph"/>
        <w:numPr>
          <w:ilvl w:val="1"/>
          <w:numId w:val="4"/>
        </w:numPr>
        <w:ind w:left="567" w:hanging="567"/>
        <w:rPr>
          <w:rFonts w:asciiTheme="minorHAnsi" w:hAnsiTheme="minorHAnsi" w:cs="Arial"/>
          <w:color w:val="000000"/>
          <w:sz w:val="22"/>
          <w:szCs w:val="22"/>
        </w:rPr>
      </w:pPr>
      <w:r w:rsidRPr="00291A14">
        <w:rPr>
          <w:rFonts w:asciiTheme="minorHAnsi" w:hAnsiTheme="minorHAnsi" w:cs="Arial"/>
          <w:color w:val="000000"/>
          <w:sz w:val="22"/>
          <w:szCs w:val="22"/>
        </w:rPr>
        <w:t xml:space="preserve">The internal charging rates for operating costs adopted by the company are reviewed for appropriateness both annually and through previous </w:t>
      </w:r>
      <w:proofErr w:type="gramStart"/>
      <w:r w:rsidRPr="00291A14">
        <w:rPr>
          <w:rFonts w:asciiTheme="minorHAnsi" w:hAnsiTheme="minorHAnsi" w:cs="Arial"/>
          <w:color w:val="000000"/>
          <w:sz w:val="22"/>
          <w:szCs w:val="22"/>
        </w:rPr>
        <w:t>activity based</w:t>
      </w:r>
      <w:proofErr w:type="gramEnd"/>
      <w:r w:rsidRPr="00291A14">
        <w:rPr>
          <w:rFonts w:asciiTheme="minorHAnsi" w:hAnsiTheme="minorHAnsi" w:cs="Arial"/>
          <w:color w:val="000000"/>
          <w:sz w:val="22"/>
          <w:szCs w:val="22"/>
        </w:rPr>
        <w:t xml:space="preserve"> analysis of the overhead and indirect cost base.</w:t>
      </w:r>
    </w:p>
    <w:p w14:paraId="71825527" w14:textId="77777777" w:rsidR="007D1218" w:rsidRPr="00291A14" w:rsidRDefault="007D1218" w:rsidP="007D1218">
      <w:pPr>
        <w:pStyle w:val="ListParagraph"/>
        <w:ind w:left="567"/>
        <w:rPr>
          <w:rFonts w:asciiTheme="minorHAnsi" w:hAnsiTheme="minorHAnsi" w:cs="Arial"/>
          <w:color w:val="000000"/>
          <w:sz w:val="22"/>
          <w:szCs w:val="22"/>
        </w:rPr>
      </w:pPr>
    </w:p>
    <w:p w14:paraId="3009B7F3" w14:textId="77777777" w:rsidR="007D1218" w:rsidRDefault="007D1218" w:rsidP="009C3ABF">
      <w:pPr>
        <w:pStyle w:val="ListParagraph"/>
        <w:numPr>
          <w:ilvl w:val="1"/>
          <w:numId w:val="4"/>
        </w:numPr>
        <w:ind w:left="567" w:hanging="567"/>
        <w:rPr>
          <w:rFonts w:asciiTheme="minorHAnsi" w:hAnsiTheme="minorHAnsi" w:cs="Arial"/>
          <w:color w:val="000000"/>
          <w:sz w:val="22"/>
          <w:szCs w:val="22"/>
        </w:rPr>
      </w:pPr>
      <w:r w:rsidRPr="008903AE">
        <w:rPr>
          <w:rFonts w:asciiTheme="minorHAnsi" w:hAnsiTheme="minorHAnsi" w:cs="Arial"/>
          <w:color w:val="000000"/>
          <w:sz w:val="22"/>
          <w:szCs w:val="22"/>
        </w:rPr>
        <w:t>The allocation of group shared services costs within South West Water to specific business areas within the appointed and non-appointed business is based upon an assessment of underlying cost drivers according to the nature of resource utilisation.  In addition to the direct costs charged to SWW business functions, group wide shared services activities are allocated out to the SWW directorates and business functions by a detailed assessment of the appropriate costs incurred by the individual business functions.</w:t>
      </w:r>
      <w:r>
        <w:rPr>
          <w:rFonts w:asciiTheme="minorHAnsi" w:hAnsiTheme="minorHAnsi" w:cs="Arial"/>
          <w:color w:val="000000"/>
          <w:sz w:val="22"/>
          <w:szCs w:val="22"/>
        </w:rPr>
        <w:t xml:space="preserve"> </w:t>
      </w:r>
    </w:p>
    <w:p w14:paraId="7FE2A5A3" w14:textId="77777777" w:rsidR="007D1218" w:rsidRPr="008903AE" w:rsidRDefault="007D1218" w:rsidP="007D1218">
      <w:pPr>
        <w:pStyle w:val="ListParagraph"/>
        <w:rPr>
          <w:rFonts w:asciiTheme="minorHAnsi" w:hAnsiTheme="minorHAnsi" w:cs="Arial"/>
          <w:color w:val="000000"/>
          <w:sz w:val="22"/>
          <w:szCs w:val="22"/>
        </w:rPr>
      </w:pPr>
    </w:p>
    <w:p w14:paraId="34F95F8B" w14:textId="77777777" w:rsidR="007D1218" w:rsidRPr="008903AE" w:rsidRDefault="007D1218" w:rsidP="009C3ABF">
      <w:pPr>
        <w:pStyle w:val="ListParagraph"/>
        <w:numPr>
          <w:ilvl w:val="1"/>
          <w:numId w:val="4"/>
        </w:numPr>
        <w:ind w:left="567" w:hanging="567"/>
        <w:rPr>
          <w:rFonts w:asciiTheme="minorHAnsi" w:hAnsiTheme="minorHAnsi" w:cs="Arial"/>
          <w:color w:val="000000"/>
          <w:sz w:val="22"/>
          <w:szCs w:val="22"/>
        </w:rPr>
      </w:pPr>
      <w:r w:rsidRPr="008903AE">
        <w:rPr>
          <w:rFonts w:asciiTheme="minorHAnsi" w:hAnsiTheme="minorHAnsi" w:cs="Arial"/>
          <w:color w:val="000000"/>
          <w:sz w:val="22"/>
          <w:szCs w:val="22"/>
        </w:rPr>
        <w:t xml:space="preserve">Where there are elements of business support and corporate costs which have no obvious connection to operational activities (and which do not necessarily increase or decrease in line with the level of operational activities) judgement has been used to select the most appropriate method of allocation, for example FTE’s. </w:t>
      </w:r>
    </w:p>
    <w:p w14:paraId="5DD31EC0" w14:textId="77777777" w:rsidR="007D1218" w:rsidRPr="00291A14" w:rsidRDefault="007D1218" w:rsidP="007D1218">
      <w:pPr>
        <w:pStyle w:val="ListParagraph"/>
        <w:ind w:left="567"/>
        <w:rPr>
          <w:rFonts w:asciiTheme="minorHAnsi" w:hAnsiTheme="minorHAnsi" w:cs="Arial"/>
          <w:color w:val="000000"/>
          <w:sz w:val="22"/>
          <w:szCs w:val="22"/>
        </w:rPr>
      </w:pPr>
    </w:p>
    <w:p w14:paraId="074FA1FE" w14:textId="226101C2" w:rsidR="007D1218" w:rsidRPr="00291A14" w:rsidRDefault="007D1218" w:rsidP="009C3ABF">
      <w:pPr>
        <w:pStyle w:val="ListParagraph"/>
        <w:numPr>
          <w:ilvl w:val="1"/>
          <w:numId w:val="4"/>
        </w:numPr>
        <w:ind w:left="567" w:hanging="567"/>
        <w:rPr>
          <w:rFonts w:asciiTheme="minorHAnsi" w:hAnsiTheme="minorHAnsi" w:cs="Arial"/>
          <w:color w:val="000000"/>
          <w:sz w:val="22"/>
          <w:szCs w:val="22"/>
        </w:rPr>
      </w:pPr>
      <w:r w:rsidRPr="00291A14">
        <w:rPr>
          <w:rFonts w:asciiTheme="minorHAnsi" w:hAnsiTheme="minorHAnsi" w:cs="Arial"/>
          <w:color w:val="000000"/>
          <w:sz w:val="22"/>
          <w:szCs w:val="22"/>
        </w:rPr>
        <w:t>In developing a methodology to complete the accounting separation tables the company’s cost allocation model (first used in 2012/13 and modified in 2013/14) has been used for the year ended 31 March 20</w:t>
      </w:r>
      <w:r>
        <w:rPr>
          <w:rFonts w:asciiTheme="minorHAnsi" w:hAnsiTheme="minorHAnsi" w:cs="Arial"/>
          <w:color w:val="000000"/>
          <w:sz w:val="22"/>
          <w:szCs w:val="22"/>
        </w:rPr>
        <w:t>2</w:t>
      </w:r>
      <w:r w:rsidR="00311197">
        <w:rPr>
          <w:rFonts w:asciiTheme="minorHAnsi" w:hAnsiTheme="minorHAnsi" w:cs="Arial"/>
          <w:color w:val="000000"/>
          <w:sz w:val="22"/>
          <w:szCs w:val="22"/>
        </w:rPr>
        <w:t>4</w:t>
      </w:r>
      <w:r w:rsidRPr="00291A14">
        <w:rPr>
          <w:rFonts w:asciiTheme="minorHAnsi" w:hAnsiTheme="minorHAnsi" w:cs="Arial"/>
          <w:color w:val="000000"/>
          <w:sz w:val="22"/>
          <w:szCs w:val="22"/>
        </w:rPr>
        <w:t xml:space="preserve"> to aid reporting and analysis of data. This forms the backbone to producing the regulatory accounts and enables the separate business unit and subsequent service analysis to be more easily obtained. </w:t>
      </w:r>
    </w:p>
    <w:p w14:paraId="15063284" w14:textId="77777777" w:rsidR="007D1218" w:rsidRPr="00291A14" w:rsidRDefault="007D1218" w:rsidP="007D1218">
      <w:pPr>
        <w:pStyle w:val="ListParagraph"/>
        <w:ind w:left="567"/>
        <w:rPr>
          <w:rFonts w:asciiTheme="minorHAnsi" w:hAnsiTheme="minorHAnsi" w:cs="Arial"/>
          <w:color w:val="000000"/>
          <w:sz w:val="22"/>
          <w:szCs w:val="22"/>
        </w:rPr>
      </w:pPr>
    </w:p>
    <w:p w14:paraId="29CCAFFF" w14:textId="77777777" w:rsidR="007D1218" w:rsidRPr="00291A14" w:rsidRDefault="007D1218" w:rsidP="009C3ABF">
      <w:pPr>
        <w:pStyle w:val="ListParagraph"/>
        <w:numPr>
          <w:ilvl w:val="1"/>
          <w:numId w:val="4"/>
        </w:numPr>
        <w:ind w:left="567" w:hanging="567"/>
        <w:rPr>
          <w:rFonts w:asciiTheme="minorHAnsi" w:hAnsiTheme="minorHAnsi" w:cs="Arial"/>
          <w:color w:val="000000"/>
          <w:sz w:val="22"/>
          <w:szCs w:val="22"/>
        </w:rPr>
      </w:pPr>
      <w:r w:rsidRPr="00291A14">
        <w:rPr>
          <w:rFonts w:asciiTheme="minorHAnsi" w:hAnsiTheme="minorHAnsi" w:cs="Arial"/>
          <w:color w:val="000000"/>
          <w:sz w:val="22"/>
          <w:szCs w:val="22"/>
        </w:rPr>
        <w:t xml:space="preserve">Cost and asset allocations have been made in a transparent, </w:t>
      </w:r>
      <w:proofErr w:type="gramStart"/>
      <w:r w:rsidRPr="00291A14">
        <w:rPr>
          <w:rFonts w:asciiTheme="minorHAnsi" w:hAnsiTheme="minorHAnsi" w:cs="Arial"/>
          <w:color w:val="000000"/>
          <w:sz w:val="22"/>
          <w:szCs w:val="22"/>
        </w:rPr>
        <w:t>objective</w:t>
      </w:r>
      <w:proofErr w:type="gramEnd"/>
      <w:r w:rsidRPr="00291A14">
        <w:rPr>
          <w:rFonts w:asciiTheme="minorHAnsi" w:hAnsiTheme="minorHAnsi" w:cs="Arial"/>
          <w:color w:val="000000"/>
          <w:sz w:val="22"/>
          <w:szCs w:val="22"/>
        </w:rPr>
        <w:t xml:space="preserve"> and non-discriminatory manner, ensuring the underlying causality of the cost is reflected. Allocations are made on a consistent basis, subject to improvements made to allocation methodologies and underlying data sources. Operating costs have been allocated by specific general ledger line and assets by individual asset, reflecting the highest possible level of granularity.  These attributes, along with clear and well documented procedure / methodology significantly aid management review and assessment of cost and asset allocations to ensure all allocations to services and business units are reasonable.</w:t>
      </w:r>
    </w:p>
    <w:p w14:paraId="2C888C66" w14:textId="77777777" w:rsidR="007D1218" w:rsidRPr="00291A14" w:rsidRDefault="007D1218" w:rsidP="007D1218">
      <w:pPr>
        <w:pStyle w:val="ListParagraph"/>
        <w:ind w:left="567"/>
        <w:rPr>
          <w:rFonts w:asciiTheme="minorHAnsi" w:hAnsiTheme="minorHAnsi" w:cs="Arial"/>
          <w:color w:val="000000"/>
          <w:sz w:val="22"/>
          <w:szCs w:val="22"/>
        </w:rPr>
      </w:pPr>
    </w:p>
    <w:p w14:paraId="0D7EF8D4" w14:textId="77777777" w:rsidR="007D1218" w:rsidRPr="00291A14" w:rsidRDefault="007D1218" w:rsidP="009C3ABF">
      <w:pPr>
        <w:pStyle w:val="ListParagraph"/>
        <w:numPr>
          <w:ilvl w:val="1"/>
          <w:numId w:val="4"/>
        </w:numPr>
        <w:ind w:left="567" w:hanging="567"/>
        <w:rPr>
          <w:rFonts w:asciiTheme="minorHAnsi" w:hAnsiTheme="minorHAnsi" w:cs="Arial"/>
          <w:color w:val="000000"/>
          <w:sz w:val="22"/>
          <w:szCs w:val="22"/>
        </w:rPr>
      </w:pPr>
      <w:r w:rsidRPr="00291A14">
        <w:rPr>
          <w:rFonts w:asciiTheme="minorHAnsi" w:hAnsiTheme="minorHAnsi" w:cs="Arial"/>
          <w:color w:val="000000"/>
          <w:sz w:val="22"/>
          <w:szCs w:val="22"/>
        </w:rPr>
        <w:t>A more detailed description of the general ledger (“GL”) coding system is detailed in Appendix B.</w:t>
      </w:r>
      <w:bookmarkStart w:id="2" w:name="_Toc356995366"/>
      <w:bookmarkStart w:id="3" w:name="_Toc389044471"/>
    </w:p>
    <w:p w14:paraId="5B1C9356" w14:textId="77777777" w:rsidR="007D1218" w:rsidRPr="00291A14" w:rsidRDefault="007D1218" w:rsidP="009C3ABF">
      <w:pPr>
        <w:pStyle w:val="ListParagraph"/>
        <w:numPr>
          <w:ilvl w:val="1"/>
          <w:numId w:val="4"/>
        </w:numPr>
        <w:ind w:left="567" w:hanging="567"/>
        <w:rPr>
          <w:rFonts w:asciiTheme="minorHAnsi" w:hAnsiTheme="minorHAnsi" w:cs="Arial"/>
          <w:color w:val="000000"/>
          <w:sz w:val="22"/>
          <w:szCs w:val="22"/>
        </w:rPr>
      </w:pPr>
      <w:r w:rsidRPr="00291A14">
        <w:rPr>
          <w:rFonts w:asciiTheme="minorHAnsi" w:hAnsiTheme="minorHAnsi" w:cs="Arial"/>
          <w:color w:val="000000"/>
          <w:sz w:val="22"/>
          <w:szCs w:val="22"/>
        </w:rPr>
        <w:br w:type="page"/>
      </w:r>
    </w:p>
    <w:p w14:paraId="724D3E87" w14:textId="77777777" w:rsidR="007D1218" w:rsidRPr="005E1736" w:rsidRDefault="007D1218" w:rsidP="008E5D24">
      <w:pPr>
        <w:pStyle w:val="Heading1"/>
      </w:pPr>
      <w:bookmarkStart w:id="4" w:name="_Toc172019343"/>
      <w:bookmarkEnd w:id="2"/>
      <w:bookmarkEnd w:id="3"/>
      <w:r w:rsidRPr="008E5D24">
        <w:lastRenderedPageBreak/>
        <w:t>INFORMATION SOURCES</w:t>
      </w:r>
      <w:bookmarkEnd w:id="4"/>
      <w:r w:rsidRPr="005E1736">
        <w:tab/>
      </w:r>
      <w:r w:rsidRPr="005E1736">
        <w:tab/>
      </w:r>
      <w:r w:rsidRPr="005E1736">
        <w:tab/>
      </w:r>
      <w:r w:rsidRPr="005E1736">
        <w:tab/>
      </w:r>
      <w:r w:rsidRPr="005E1736">
        <w:tab/>
      </w:r>
    </w:p>
    <w:p w14:paraId="1864BDA7" w14:textId="77777777" w:rsidR="007D1218" w:rsidRPr="0091297D" w:rsidRDefault="007D1218" w:rsidP="007D1218">
      <w:pPr>
        <w:rPr>
          <w:highlight w:val="yellow"/>
        </w:rPr>
      </w:pPr>
    </w:p>
    <w:p w14:paraId="6BCC65D7" w14:textId="77777777" w:rsidR="007D1218" w:rsidRPr="0091297D" w:rsidRDefault="007D1218" w:rsidP="009C3ABF">
      <w:pPr>
        <w:pStyle w:val="ListParagraph"/>
        <w:numPr>
          <w:ilvl w:val="0"/>
          <w:numId w:val="5"/>
        </w:numPr>
        <w:rPr>
          <w:rFonts w:asciiTheme="minorHAnsi" w:hAnsiTheme="minorHAnsi" w:cs="Arial"/>
          <w:vanish/>
          <w:color w:val="000000"/>
          <w:sz w:val="22"/>
          <w:szCs w:val="22"/>
          <w:highlight w:val="yellow"/>
        </w:rPr>
      </w:pPr>
    </w:p>
    <w:p w14:paraId="1B6BCF76" w14:textId="77777777" w:rsidR="007D1218" w:rsidRPr="0091297D" w:rsidRDefault="007D1218" w:rsidP="009C3ABF">
      <w:pPr>
        <w:pStyle w:val="ListParagraph"/>
        <w:numPr>
          <w:ilvl w:val="0"/>
          <w:numId w:val="5"/>
        </w:numPr>
        <w:rPr>
          <w:rFonts w:asciiTheme="minorHAnsi" w:hAnsiTheme="minorHAnsi" w:cs="Arial"/>
          <w:vanish/>
          <w:color w:val="000000"/>
          <w:sz w:val="22"/>
          <w:szCs w:val="22"/>
          <w:highlight w:val="yellow"/>
        </w:rPr>
      </w:pPr>
    </w:p>
    <w:p w14:paraId="12029A24" w14:textId="77777777" w:rsidR="007D1218" w:rsidRPr="00EA7194" w:rsidRDefault="007D1218" w:rsidP="009C3ABF">
      <w:pPr>
        <w:pStyle w:val="ListParagraph"/>
        <w:numPr>
          <w:ilvl w:val="1"/>
          <w:numId w:val="5"/>
        </w:numPr>
        <w:ind w:left="567" w:hanging="567"/>
        <w:rPr>
          <w:rFonts w:asciiTheme="minorHAnsi" w:hAnsiTheme="minorHAnsi" w:cs="Arial"/>
          <w:color w:val="000000"/>
          <w:sz w:val="22"/>
          <w:szCs w:val="22"/>
        </w:rPr>
      </w:pPr>
      <w:r w:rsidRPr="00EA7194">
        <w:rPr>
          <w:rFonts w:asciiTheme="minorHAnsi" w:hAnsiTheme="minorHAnsi" w:cs="Arial"/>
          <w:color w:val="000000"/>
          <w:sz w:val="22"/>
          <w:szCs w:val="22"/>
        </w:rPr>
        <w:t>Cost Information is derived from</w:t>
      </w:r>
      <w:r>
        <w:rPr>
          <w:rFonts w:asciiTheme="minorHAnsi" w:hAnsiTheme="minorHAnsi" w:cs="Arial"/>
          <w:color w:val="000000"/>
          <w:sz w:val="22"/>
          <w:szCs w:val="22"/>
        </w:rPr>
        <w:t xml:space="preserve"> Ellipse,</w:t>
      </w:r>
      <w:r w:rsidRPr="00EA7194">
        <w:rPr>
          <w:rFonts w:asciiTheme="minorHAnsi" w:hAnsiTheme="minorHAnsi" w:cs="Arial"/>
          <w:color w:val="000000"/>
          <w:sz w:val="22"/>
          <w:szCs w:val="22"/>
        </w:rPr>
        <w:t xml:space="preserve"> the company’s genera</w:t>
      </w:r>
      <w:r>
        <w:rPr>
          <w:rFonts w:asciiTheme="minorHAnsi" w:hAnsiTheme="minorHAnsi" w:cs="Arial"/>
          <w:color w:val="000000"/>
          <w:sz w:val="22"/>
          <w:szCs w:val="22"/>
        </w:rPr>
        <w:t>l ledger system, which is aligned to International Financial Reporting Standards (IFRS)</w:t>
      </w:r>
      <w:r w:rsidRPr="00EA7194">
        <w:rPr>
          <w:rFonts w:asciiTheme="minorHAnsi" w:hAnsiTheme="minorHAnsi" w:cs="Arial"/>
          <w:color w:val="000000"/>
          <w:sz w:val="22"/>
          <w:szCs w:val="22"/>
        </w:rPr>
        <w:t xml:space="preserve">. A full general ledger profit and loss account download is extracted from Ellipse and </w:t>
      </w:r>
      <w:proofErr w:type="gramStart"/>
      <w:r w:rsidRPr="00EA7194">
        <w:rPr>
          <w:rFonts w:asciiTheme="minorHAnsi" w:hAnsiTheme="minorHAnsi" w:cs="Arial"/>
          <w:color w:val="000000"/>
          <w:sz w:val="22"/>
          <w:szCs w:val="22"/>
        </w:rPr>
        <w:t>entered into</w:t>
      </w:r>
      <w:proofErr w:type="gramEnd"/>
      <w:r w:rsidRPr="00EA7194">
        <w:rPr>
          <w:rFonts w:asciiTheme="minorHAnsi" w:hAnsiTheme="minorHAnsi" w:cs="Arial"/>
          <w:color w:val="000000"/>
          <w:sz w:val="22"/>
          <w:szCs w:val="22"/>
        </w:rPr>
        <w:t xml:space="preserve"> the Accounting Separation cost allocation Excel model.  </w:t>
      </w:r>
    </w:p>
    <w:p w14:paraId="08E01A5E" w14:textId="77777777" w:rsidR="007D1218" w:rsidRPr="00EA7194" w:rsidRDefault="007D1218" w:rsidP="007D1218">
      <w:pPr>
        <w:pStyle w:val="ListParagraph"/>
        <w:ind w:left="567"/>
        <w:rPr>
          <w:rFonts w:asciiTheme="minorHAnsi" w:hAnsiTheme="minorHAnsi" w:cs="Arial"/>
          <w:color w:val="000000"/>
          <w:sz w:val="22"/>
          <w:szCs w:val="22"/>
        </w:rPr>
      </w:pPr>
      <w:r w:rsidRPr="00EA7194">
        <w:rPr>
          <w:rFonts w:asciiTheme="minorHAnsi" w:hAnsiTheme="minorHAnsi" w:cs="Arial"/>
          <w:color w:val="000000"/>
          <w:sz w:val="22"/>
          <w:szCs w:val="22"/>
        </w:rPr>
        <w:tab/>
      </w:r>
    </w:p>
    <w:p w14:paraId="18603FF9" w14:textId="77777777" w:rsidR="007D1218" w:rsidRPr="00B40DF4" w:rsidRDefault="007D1218" w:rsidP="009C3ABF">
      <w:pPr>
        <w:pStyle w:val="ListParagraph"/>
        <w:numPr>
          <w:ilvl w:val="1"/>
          <w:numId w:val="5"/>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 xml:space="preserve">A fixed assets register (Real Asset Management – “RAM”) is used to record the detail of fixed assets and related depreciation charges for the historical cost regulatory accounts.  </w:t>
      </w:r>
    </w:p>
    <w:p w14:paraId="3F82F34C" w14:textId="77777777" w:rsidR="007D1218" w:rsidRPr="00B40DF4" w:rsidRDefault="007D1218" w:rsidP="007D1218">
      <w:pPr>
        <w:pStyle w:val="ListParagraph"/>
        <w:rPr>
          <w:rFonts w:asciiTheme="minorHAnsi" w:hAnsiTheme="minorHAnsi" w:cs="Arial"/>
          <w:color w:val="000000"/>
          <w:sz w:val="22"/>
          <w:szCs w:val="22"/>
        </w:rPr>
      </w:pPr>
    </w:p>
    <w:p w14:paraId="1DBC7B29" w14:textId="77777777" w:rsidR="007D1218" w:rsidRPr="00B40DF4" w:rsidRDefault="007D1218" w:rsidP="009C3ABF">
      <w:pPr>
        <w:pStyle w:val="ListParagraph"/>
        <w:numPr>
          <w:ilvl w:val="1"/>
          <w:numId w:val="5"/>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 xml:space="preserve">Current cost accounts information, including fixed asset values and depreciation charges, is not processed through Ellipse but controlled through a separate current cost fixed assets register. This includes the full data from the </w:t>
      </w:r>
      <w:r w:rsidRPr="003D724C">
        <w:rPr>
          <w:rFonts w:asciiTheme="minorHAnsi" w:hAnsiTheme="minorHAnsi" w:cs="Arial"/>
          <w:color w:val="000000"/>
          <w:sz w:val="22"/>
          <w:szCs w:val="22"/>
        </w:rPr>
        <w:t>March 2008 MEA (modern equivalent asset) Revaluation and all non-infrastructure additions since 1 April 2008.</w:t>
      </w:r>
      <w:r w:rsidRPr="00B40DF4">
        <w:rPr>
          <w:rFonts w:asciiTheme="minorHAnsi" w:hAnsiTheme="minorHAnsi" w:cs="Arial"/>
          <w:color w:val="000000"/>
          <w:sz w:val="22"/>
          <w:szCs w:val="22"/>
        </w:rPr>
        <w:t xml:space="preserve"> The register has been used as the source for the current cost depreciation charge.  Other CCA values including gross book values which include an allocation of capital </w:t>
      </w:r>
      <w:proofErr w:type="gramStart"/>
      <w:r w:rsidRPr="00B40DF4">
        <w:rPr>
          <w:rFonts w:asciiTheme="minorHAnsi" w:hAnsiTheme="minorHAnsi" w:cs="Arial"/>
          <w:color w:val="000000"/>
          <w:sz w:val="22"/>
          <w:szCs w:val="22"/>
        </w:rPr>
        <w:t>WIP</w:t>
      </w:r>
      <w:proofErr w:type="gramEnd"/>
      <w:r w:rsidRPr="00B40DF4">
        <w:rPr>
          <w:rFonts w:asciiTheme="minorHAnsi" w:hAnsiTheme="minorHAnsi" w:cs="Arial"/>
          <w:color w:val="000000"/>
          <w:sz w:val="22"/>
          <w:szCs w:val="22"/>
        </w:rPr>
        <w:t xml:space="preserve"> and relevant indexation are based on relevant capital expenditure for which there is a detailed analysis using data from the Ellipse project costing system.</w:t>
      </w:r>
    </w:p>
    <w:p w14:paraId="62CD917C" w14:textId="77777777" w:rsidR="007D1218" w:rsidRPr="0091297D" w:rsidRDefault="007D1218" w:rsidP="007D1218">
      <w:pPr>
        <w:rPr>
          <w:rFonts w:cs="Arial"/>
          <w:color w:val="000000"/>
          <w:highlight w:val="yellow"/>
        </w:rPr>
      </w:pPr>
    </w:p>
    <w:p w14:paraId="035327BB" w14:textId="77777777" w:rsidR="007D1218" w:rsidRPr="0091297D" w:rsidRDefault="007D1218" w:rsidP="007D1218">
      <w:pPr>
        <w:rPr>
          <w:rFonts w:cs="Arial"/>
          <w:color w:val="000000"/>
          <w:highlight w:val="yellow"/>
        </w:rPr>
      </w:pPr>
    </w:p>
    <w:p w14:paraId="2827D0B4" w14:textId="77777777" w:rsidR="007D1218" w:rsidRPr="0091297D" w:rsidRDefault="007D1218" w:rsidP="007D1218">
      <w:pPr>
        <w:rPr>
          <w:b/>
          <w:highlight w:val="yellow"/>
        </w:rPr>
      </w:pPr>
      <w:bookmarkStart w:id="5" w:name="_Toc356995367"/>
      <w:bookmarkStart w:id="6" w:name="_Toc389044472"/>
      <w:r w:rsidRPr="0091297D">
        <w:rPr>
          <w:highlight w:val="yellow"/>
        </w:rPr>
        <w:br w:type="page"/>
      </w:r>
    </w:p>
    <w:p w14:paraId="1A7E63D6" w14:textId="03CB8F83" w:rsidR="007D1218" w:rsidRPr="005E1736" w:rsidRDefault="007D1218" w:rsidP="008E5D24">
      <w:pPr>
        <w:pStyle w:val="Heading1"/>
      </w:pPr>
      <w:bookmarkStart w:id="7" w:name="_Toc172019344"/>
      <w:bookmarkEnd w:id="5"/>
      <w:bookmarkEnd w:id="6"/>
      <w:r w:rsidRPr="005E1736">
        <w:lastRenderedPageBreak/>
        <w:t>CHANGES TO COST ALLOCATIONS</w:t>
      </w:r>
      <w:r w:rsidRPr="005E1736">
        <w:tab/>
        <w:t xml:space="preserve">- </w:t>
      </w:r>
      <w:r>
        <w:t>202</w:t>
      </w:r>
      <w:r w:rsidR="00D90C90">
        <w:t>3</w:t>
      </w:r>
      <w:r>
        <w:t>/2</w:t>
      </w:r>
      <w:r w:rsidR="00D90C90">
        <w:t>4</w:t>
      </w:r>
      <w:bookmarkEnd w:id="7"/>
      <w:r w:rsidRPr="005E1736">
        <w:tab/>
      </w:r>
      <w:r w:rsidRPr="005E1736">
        <w:tab/>
      </w:r>
    </w:p>
    <w:p w14:paraId="7DC8B612" w14:textId="77777777" w:rsidR="007D1218" w:rsidRPr="005E1736" w:rsidRDefault="007D1218" w:rsidP="007D1218">
      <w:pPr>
        <w:pStyle w:val="ListParagraph"/>
        <w:ind w:left="360"/>
        <w:rPr>
          <w:rFonts w:asciiTheme="minorHAnsi" w:hAnsiTheme="minorHAnsi"/>
          <w:b/>
        </w:rPr>
      </w:pPr>
    </w:p>
    <w:p w14:paraId="17FDCCA0" w14:textId="77777777" w:rsidR="007D1218" w:rsidRPr="005E1736" w:rsidRDefault="007D1218" w:rsidP="009C3ABF">
      <w:pPr>
        <w:pStyle w:val="ListParagraph"/>
        <w:numPr>
          <w:ilvl w:val="0"/>
          <w:numId w:val="5"/>
        </w:numPr>
        <w:rPr>
          <w:rFonts w:asciiTheme="minorHAnsi" w:hAnsiTheme="minorHAnsi" w:cs="Arial"/>
          <w:vanish/>
          <w:color w:val="000000"/>
          <w:sz w:val="22"/>
          <w:szCs w:val="22"/>
        </w:rPr>
      </w:pPr>
    </w:p>
    <w:p w14:paraId="7E9FC1CE" w14:textId="3CB430D1" w:rsidR="007D1218" w:rsidRPr="006374AB" w:rsidRDefault="007D1218" w:rsidP="009C3ABF">
      <w:pPr>
        <w:pStyle w:val="ListParagraph"/>
        <w:numPr>
          <w:ilvl w:val="1"/>
          <w:numId w:val="5"/>
        </w:numPr>
        <w:ind w:left="567" w:hanging="567"/>
        <w:rPr>
          <w:rFonts w:asciiTheme="minorHAnsi" w:hAnsiTheme="minorHAnsi" w:cs="Arial"/>
          <w:sz w:val="22"/>
          <w:szCs w:val="22"/>
        </w:rPr>
      </w:pPr>
      <w:r w:rsidRPr="005E1736">
        <w:rPr>
          <w:rFonts w:asciiTheme="minorHAnsi" w:hAnsiTheme="minorHAnsi" w:cs="Arial"/>
          <w:color w:val="000000"/>
          <w:sz w:val="22"/>
          <w:szCs w:val="22"/>
        </w:rPr>
        <w:t xml:space="preserve">The basis for allocating </w:t>
      </w:r>
      <w:r>
        <w:rPr>
          <w:rFonts w:asciiTheme="minorHAnsi" w:hAnsiTheme="minorHAnsi" w:cs="Arial"/>
          <w:color w:val="000000"/>
          <w:sz w:val="22"/>
          <w:szCs w:val="22"/>
        </w:rPr>
        <w:t xml:space="preserve">South West Water </w:t>
      </w:r>
      <w:r w:rsidRPr="005E1736">
        <w:rPr>
          <w:rFonts w:asciiTheme="minorHAnsi" w:hAnsiTheme="minorHAnsi" w:cs="Arial"/>
          <w:color w:val="000000"/>
          <w:sz w:val="22"/>
          <w:szCs w:val="22"/>
        </w:rPr>
        <w:t xml:space="preserve">costs between business units has remained unchanged during </w:t>
      </w:r>
      <w:r>
        <w:rPr>
          <w:rFonts w:asciiTheme="minorHAnsi" w:hAnsiTheme="minorHAnsi" w:cs="Arial"/>
          <w:color w:val="000000"/>
          <w:sz w:val="22"/>
          <w:szCs w:val="22"/>
        </w:rPr>
        <w:t>202</w:t>
      </w:r>
      <w:r w:rsidR="00D90C90">
        <w:rPr>
          <w:rFonts w:asciiTheme="minorHAnsi" w:hAnsiTheme="minorHAnsi" w:cs="Arial"/>
          <w:color w:val="000000"/>
          <w:sz w:val="22"/>
          <w:szCs w:val="22"/>
        </w:rPr>
        <w:t>3</w:t>
      </w:r>
      <w:r>
        <w:rPr>
          <w:rFonts w:asciiTheme="minorHAnsi" w:hAnsiTheme="minorHAnsi" w:cs="Arial"/>
          <w:color w:val="000000"/>
          <w:sz w:val="22"/>
          <w:szCs w:val="22"/>
        </w:rPr>
        <w:t>/2</w:t>
      </w:r>
      <w:r w:rsidR="00D90C90">
        <w:rPr>
          <w:rFonts w:asciiTheme="minorHAnsi" w:hAnsiTheme="minorHAnsi" w:cs="Arial"/>
          <w:color w:val="000000"/>
          <w:sz w:val="22"/>
          <w:szCs w:val="22"/>
        </w:rPr>
        <w:t>4</w:t>
      </w:r>
      <w:r w:rsidRPr="005E1736">
        <w:rPr>
          <w:rFonts w:asciiTheme="minorHAnsi" w:hAnsiTheme="minorHAnsi" w:cs="Arial"/>
          <w:color w:val="000000"/>
          <w:sz w:val="22"/>
          <w:szCs w:val="22"/>
        </w:rPr>
        <w:t>.</w:t>
      </w:r>
      <w:r>
        <w:rPr>
          <w:rFonts w:asciiTheme="minorHAnsi" w:hAnsiTheme="minorHAnsi" w:cs="Arial"/>
          <w:color w:val="000000"/>
          <w:sz w:val="22"/>
          <w:szCs w:val="22"/>
        </w:rPr>
        <w:t xml:space="preserve">  </w:t>
      </w:r>
    </w:p>
    <w:p w14:paraId="51DAF811" w14:textId="77777777" w:rsidR="007D1218" w:rsidRPr="006374AB" w:rsidRDefault="007D1218" w:rsidP="007D1218">
      <w:pPr>
        <w:pStyle w:val="ListParagraph"/>
        <w:ind w:left="567"/>
        <w:rPr>
          <w:rFonts w:asciiTheme="minorHAnsi" w:hAnsiTheme="minorHAnsi" w:cs="Arial"/>
          <w:sz w:val="22"/>
          <w:szCs w:val="22"/>
        </w:rPr>
      </w:pPr>
    </w:p>
    <w:p w14:paraId="586B844F" w14:textId="4E6191B6" w:rsidR="007D1218" w:rsidRPr="005E1736" w:rsidRDefault="007D1218" w:rsidP="009C3ABF">
      <w:pPr>
        <w:pStyle w:val="ListParagraph"/>
        <w:numPr>
          <w:ilvl w:val="1"/>
          <w:numId w:val="5"/>
        </w:numPr>
        <w:ind w:left="567" w:hanging="567"/>
        <w:rPr>
          <w:rFonts w:asciiTheme="minorHAnsi" w:hAnsiTheme="minorHAnsi" w:cs="Arial"/>
          <w:sz w:val="22"/>
          <w:szCs w:val="22"/>
        </w:rPr>
      </w:pPr>
      <w:r>
        <w:rPr>
          <w:rFonts w:asciiTheme="minorHAnsi" w:hAnsiTheme="minorHAnsi" w:cs="Arial"/>
          <w:color w:val="000000"/>
          <w:sz w:val="22"/>
          <w:szCs w:val="22"/>
        </w:rPr>
        <w:t>The allocation of the central costs to SWW and to business functions within South West Water follows OFWAT Regulatory Accounting Guidelines as set out in 4.</w:t>
      </w:r>
      <w:r w:rsidR="00311197">
        <w:rPr>
          <w:rFonts w:asciiTheme="minorHAnsi" w:hAnsiTheme="minorHAnsi" w:cs="Arial"/>
          <w:color w:val="000000"/>
          <w:sz w:val="22"/>
          <w:szCs w:val="22"/>
        </w:rPr>
        <w:t>12</w:t>
      </w:r>
      <w:r>
        <w:rPr>
          <w:rFonts w:asciiTheme="minorHAnsi" w:hAnsiTheme="minorHAnsi" w:cs="Arial"/>
          <w:color w:val="000000"/>
          <w:sz w:val="22"/>
          <w:szCs w:val="22"/>
        </w:rPr>
        <w:t>.</w:t>
      </w:r>
    </w:p>
    <w:p w14:paraId="2FBFA643" w14:textId="77777777" w:rsidR="007D1218" w:rsidRPr="00F24BE4" w:rsidRDefault="007D1218" w:rsidP="007D1218">
      <w:pPr>
        <w:pStyle w:val="ListParagraph"/>
        <w:ind w:left="567"/>
        <w:rPr>
          <w:rFonts w:asciiTheme="minorHAnsi" w:hAnsiTheme="minorHAnsi" w:cs="Arial"/>
          <w:sz w:val="22"/>
          <w:szCs w:val="22"/>
          <w:highlight w:val="yellow"/>
        </w:rPr>
      </w:pPr>
    </w:p>
    <w:p w14:paraId="665A30D4" w14:textId="77777777" w:rsidR="007D1218" w:rsidRPr="00FD3D5C" w:rsidRDefault="007D1218" w:rsidP="009C3ABF">
      <w:pPr>
        <w:pStyle w:val="ListParagraph"/>
        <w:numPr>
          <w:ilvl w:val="1"/>
          <w:numId w:val="5"/>
        </w:numPr>
        <w:ind w:left="567" w:hanging="567"/>
        <w:rPr>
          <w:rFonts w:asciiTheme="minorHAnsi" w:hAnsiTheme="minorHAnsi" w:cs="Arial"/>
          <w:color w:val="000000"/>
          <w:sz w:val="22"/>
          <w:szCs w:val="22"/>
        </w:rPr>
      </w:pPr>
      <w:r>
        <w:rPr>
          <w:rFonts w:asciiTheme="minorHAnsi" w:hAnsiTheme="minorHAnsi" w:cs="Arial"/>
          <w:color w:val="000000"/>
          <w:sz w:val="22"/>
          <w:szCs w:val="22"/>
        </w:rPr>
        <w:t xml:space="preserve">SWW has exited the non-household (NHH) market, although SWW has continued to assist in the delivery of some NHH activities (developer services, initial operation contacts and </w:t>
      </w:r>
      <w:proofErr w:type="gramStart"/>
      <w:r>
        <w:rPr>
          <w:rFonts w:asciiTheme="minorHAnsi" w:hAnsiTheme="minorHAnsi" w:cs="Arial"/>
          <w:color w:val="000000"/>
          <w:sz w:val="22"/>
          <w:szCs w:val="22"/>
        </w:rPr>
        <w:t>third party</w:t>
      </w:r>
      <w:proofErr w:type="gramEnd"/>
      <w:r>
        <w:rPr>
          <w:rFonts w:asciiTheme="minorHAnsi" w:hAnsiTheme="minorHAnsi" w:cs="Arial"/>
          <w:color w:val="000000"/>
          <w:sz w:val="22"/>
          <w:szCs w:val="22"/>
        </w:rPr>
        <w:t xml:space="preserve"> services), in accordance with Ofwat guidance, 100% of these costs have been allocated to Wholesale.</w:t>
      </w:r>
      <w:r w:rsidRPr="00FD3D5C">
        <w:rPr>
          <w:rFonts w:ascii="Calibri" w:eastAsia="MS Gothic" w:hAnsi="Calibri"/>
          <w:spacing w:val="5"/>
          <w:kern w:val="28"/>
          <w:sz w:val="52"/>
          <w:szCs w:val="52"/>
          <w:highlight w:val="yellow"/>
        </w:rPr>
        <w:br w:type="page"/>
      </w:r>
    </w:p>
    <w:p w14:paraId="2D1022B6" w14:textId="77777777" w:rsidR="007D1218" w:rsidRPr="00985EFC" w:rsidRDefault="007D1218" w:rsidP="008E5D24">
      <w:pPr>
        <w:pStyle w:val="Heading1"/>
      </w:pPr>
      <w:bookmarkStart w:id="8" w:name="_Toc172019345"/>
      <w:r w:rsidRPr="00985EFC">
        <w:lastRenderedPageBreak/>
        <w:t>COST ALLOCATION MODEL</w:t>
      </w:r>
      <w:bookmarkEnd w:id="8"/>
      <w:r w:rsidRPr="00985EFC">
        <w:tab/>
      </w:r>
      <w:r w:rsidRPr="00985EFC">
        <w:tab/>
      </w:r>
      <w:r w:rsidRPr="00985EFC">
        <w:tab/>
      </w:r>
      <w:r w:rsidRPr="00985EFC">
        <w:tab/>
      </w:r>
      <w:r w:rsidRPr="00985EFC">
        <w:tab/>
      </w:r>
    </w:p>
    <w:p w14:paraId="5F1076F5" w14:textId="77777777" w:rsidR="007D1218" w:rsidRPr="00985EFC" w:rsidRDefault="007D1218" w:rsidP="007D1218">
      <w:pPr>
        <w:rPr>
          <w:rFonts w:cs="Arial"/>
        </w:rPr>
      </w:pPr>
    </w:p>
    <w:p w14:paraId="15B082DA" w14:textId="77777777" w:rsidR="007D1218" w:rsidRPr="00985EFC" w:rsidRDefault="007D1218" w:rsidP="009C3ABF">
      <w:pPr>
        <w:pStyle w:val="ListParagraph"/>
        <w:numPr>
          <w:ilvl w:val="0"/>
          <w:numId w:val="5"/>
        </w:numPr>
        <w:rPr>
          <w:rFonts w:asciiTheme="minorHAnsi" w:hAnsiTheme="minorHAnsi" w:cs="Arial"/>
          <w:vanish/>
          <w:color w:val="000000"/>
          <w:sz w:val="22"/>
          <w:szCs w:val="22"/>
        </w:rPr>
      </w:pPr>
    </w:p>
    <w:p w14:paraId="2F98A39D" w14:textId="77777777" w:rsidR="007D1218" w:rsidRPr="00985EFC" w:rsidRDefault="007D1218" w:rsidP="009C3ABF">
      <w:pPr>
        <w:pStyle w:val="ListParagraph"/>
        <w:numPr>
          <w:ilvl w:val="1"/>
          <w:numId w:val="5"/>
        </w:numPr>
        <w:rPr>
          <w:rFonts w:asciiTheme="minorHAnsi" w:hAnsiTheme="minorHAnsi" w:cs="Arial"/>
          <w:color w:val="000000"/>
          <w:sz w:val="22"/>
          <w:szCs w:val="22"/>
        </w:rPr>
      </w:pPr>
      <w:r w:rsidRPr="00985EFC">
        <w:rPr>
          <w:rFonts w:asciiTheme="minorHAnsi" w:hAnsiTheme="minorHAnsi" w:cs="Arial"/>
          <w:color w:val="000000"/>
          <w:sz w:val="22"/>
          <w:szCs w:val="22"/>
        </w:rPr>
        <w:t xml:space="preserve">The figure below shows the methodology of the cost allocation model to business unit level. </w:t>
      </w:r>
    </w:p>
    <w:p w14:paraId="0DC97D47" w14:textId="77777777" w:rsidR="007D1218" w:rsidRPr="00985EFC" w:rsidRDefault="007D1218" w:rsidP="007D1218">
      <w:pPr>
        <w:rPr>
          <w:rFonts w:cs="Arial"/>
          <w:color w:val="000000"/>
        </w:rPr>
      </w:pPr>
    </w:p>
    <w:p w14:paraId="05D7CBF6" w14:textId="77777777" w:rsidR="007D1218" w:rsidRPr="00985EFC" w:rsidRDefault="007D1218" w:rsidP="007D1218">
      <w:pPr>
        <w:rPr>
          <w:rFonts w:cs="Arial"/>
          <w:color w:val="000000"/>
        </w:rPr>
      </w:pPr>
      <w:r w:rsidRPr="00985EFC">
        <w:object w:dxaOrig="10260" w:dyaOrig="8219" w14:anchorId="6605B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65pt;height:352.6pt" o:ole="">
            <v:imagedata r:id="rId14" o:title=""/>
          </v:shape>
          <o:OLEObject Type="Embed" ProgID="Visio.Drawing.11" ShapeID="_x0000_i1025" DrawAspect="Content" ObjectID="_1782632088" r:id="rId15"/>
        </w:object>
      </w:r>
    </w:p>
    <w:p w14:paraId="42B85490" w14:textId="77777777" w:rsidR="007D1218" w:rsidRPr="0091297D" w:rsidRDefault="007D1218" w:rsidP="007D1218">
      <w:pPr>
        <w:pStyle w:val="ListParagraph"/>
        <w:ind w:left="360"/>
        <w:rPr>
          <w:rFonts w:asciiTheme="minorHAnsi" w:hAnsiTheme="minorHAnsi"/>
          <w:b/>
          <w:highlight w:val="yellow"/>
        </w:rPr>
      </w:pPr>
    </w:p>
    <w:p w14:paraId="3490FAFE" w14:textId="77777777" w:rsidR="007D1218" w:rsidRPr="00985EFC" w:rsidRDefault="007D1218" w:rsidP="007D1218">
      <w:bookmarkStart w:id="9" w:name="_Toc356995369"/>
      <w:bookmarkStart w:id="10" w:name="_Toc389044474"/>
      <w:r w:rsidRPr="00985EFC">
        <w:t xml:space="preserve">The flow chart shows that whilst allocations are required as outlined in sections of the methodology the starting point of information for the accounting separation tables is the South West Water general ledger. </w:t>
      </w:r>
    </w:p>
    <w:p w14:paraId="38F9C495" w14:textId="77777777" w:rsidR="007D1218" w:rsidRPr="00985EFC" w:rsidRDefault="007D1218" w:rsidP="007D1218"/>
    <w:p w14:paraId="60F74797" w14:textId="77777777" w:rsidR="007D1218" w:rsidRPr="00985EFC" w:rsidRDefault="007D1218" w:rsidP="007D1218">
      <w:r w:rsidRPr="00985EFC">
        <w:t>The flow chart also clearly identifies the hierarchy used for attributing costs to the business unit level of the accounting separation tables.</w:t>
      </w:r>
    </w:p>
    <w:p w14:paraId="0982664B" w14:textId="77777777" w:rsidR="007D1218" w:rsidRDefault="007D1218" w:rsidP="007D1218"/>
    <w:p w14:paraId="6A9AF714" w14:textId="77777777" w:rsidR="007D1218" w:rsidRPr="00985EFC" w:rsidRDefault="007D1218" w:rsidP="007D1218">
      <w:r w:rsidRPr="00985EFC">
        <w:t>Further metrics are then applied to business unit costs to provide an allocation to service level (within business units) as explained l</w:t>
      </w:r>
      <w:r>
        <w:t>ater in</w:t>
      </w:r>
      <w:r w:rsidRPr="00985EFC">
        <w:t xml:space="preserve"> this document.</w:t>
      </w:r>
    </w:p>
    <w:p w14:paraId="56059E12" w14:textId="77777777" w:rsidR="007D1218" w:rsidRPr="0091297D" w:rsidRDefault="007D1218" w:rsidP="007D1218">
      <w:pPr>
        <w:rPr>
          <w:b/>
          <w:highlight w:val="yellow"/>
        </w:rPr>
      </w:pPr>
      <w:bookmarkStart w:id="11" w:name="_Toc356995372"/>
      <w:bookmarkStart w:id="12" w:name="_Toc389044477"/>
      <w:bookmarkEnd w:id="9"/>
      <w:bookmarkEnd w:id="10"/>
    </w:p>
    <w:bookmarkEnd w:id="11"/>
    <w:bookmarkEnd w:id="12"/>
    <w:p w14:paraId="308DF048" w14:textId="77777777" w:rsidR="007D1218" w:rsidRPr="0091297D" w:rsidRDefault="007D1218" w:rsidP="007D1218">
      <w:pPr>
        <w:rPr>
          <w:rFonts w:ascii="Calibri" w:eastAsia="MS Gothic" w:hAnsi="Calibri"/>
          <w:spacing w:val="5"/>
          <w:kern w:val="28"/>
          <w:sz w:val="52"/>
          <w:szCs w:val="52"/>
          <w:highlight w:val="yellow"/>
        </w:rPr>
      </w:pPr>
      <w:r w:rsidRPr="0091297D">
        <w:rPr>
          <w:highlight w:val="yellow"/>
        </w:rPr>
        <w:br w:type="page"/>
      </w:r>
    </w:p>
    <w:p w14:paraId="5047C888" w14:textId="77777777" w:rsidR="007D1218" w:rsidRPr="005E1736" w:rsidRDefault="007D1218" w:rsidP="008E5D24">
      <w:pPr>
        <w:pStyle w:val="Heading1"/>
      </w:pPr>
      <w:bookmarkStart w:id="13" w:name="_Toc172019346"/>
      <w:r w:rsidRPr="005E1736">
        <w:lastRenderedPageBreak/>
        <w:t>COST ALLOCATIONS</w:t>
      </w:r>
      <w:bookmarkEnd w:id="13"/>
      <w:r w:rsidRPr="005E1736">
        <w:tab/>
      </w:r>
      <w:r w:rsidRPr="005E1736">
        <w:tab/>
      </w:r>
      <w:r w:rsidRPr="005E1736">
        <w:tab/>
      </w:r>
      <w:r w:rsidRPr="005E1736">
        <w:tab/>
      </w:r>
    </w:p>
    <w:p w14:paraId="6CE4E318" w14:textId="77777777" w:rsidR="007D1218" w:rsidRPr="005E1736" w:rsidRDefault="007D1218" w:rsidP="007D1218">
      <w:pPr>
        <w:rPr>
          <w:b/>
        </w:rPr>
      </w:pPr>
    </w:p>
    <w:p w14:paraId="23E8F9D2" w14:textId="77777777" w:rsidR="007D1218" w:rsidRPr="005E1736" w:rsidRDefault="007D1218" w:rsidP="009C3ABF">
      <w:pPr>
        <w:pStyle w:val="ListParagraph"/>
        <w:numPr>
          <w:ilvl w:val="0"/>
          <w:numId w:val="5"/>
        </w:numPr>
        <w:rPr>
          <w:rFonts w:asciiTheme="minorHAnsi" w:hAnsiTheme="minorHAnsi" w:cs="Arial"/>
          <w:vanish/>
          <w:color w:val="000000"/>
          <w:sz w:val="22"/>
          <w:szCs w:val="22"/>
        </w:rPr>
      </w:pPr>
    </w:p>
    <w:p w14:paraId="3BC4A88F" w14:textId="2EAC4938" w:rsidR="007D1218" w:rsidRPr="003013E5" w:rsidRDefault="007D1218" w:rsidP="009C3ABF">
      <w:pPr>
        <w:pStyle w:val="ListParagraph"/>
        <w:numPr>
          <w:ilvl w:val="1"/>
          <w:numId w:val="5"/>
        </w:numPr>
        <w:rPr>
          <w:rFonts w:asciiTheme="minorHAnsi" w:hAnsiTheme="minorHAnsi" w:cs="Arial"/>
          <w:color w:val="000000"/>
          <w:sz w:val="22"/>
          <w:szCs w:val="22"/>
        </w:rPr>
      </w:pPr>
      <w:r>
        <w:rPr>
          <w:rFonts w:asciiTheme="minorHAnsi" w:hAnsiTheme="minorHAnsi" w:cs="Arial"/>
          <w:color w:val="000000"/>
          <w:sz w:val="22"/>
          <w:szCs w:val="22"/>
        </w:rPr>
        <w:t>For 202</w:t>
      </w:r>
      <w:r w:rsidR="00C32A4B">
        <w:rPr>
          <w:rFonts w:asciiTheme="minorHAnsi" w:hAnsiTheme="minorHAnsi" w:cs="Arial"/>
          <w:color w:val="000000"/>
          <w:sz w:val="22"/>
          <w:szCs w:val="22"/>
        </w:rPr>
        <w:t>3</w:t>
      </w:r>
      <w:r>
        <w:rPr>
          <w:rFonts w:asciiTheme="minorHAnsi" w:hAnsiTheme="minorHAnsi" w:cs="Arial"/>
          <w:color w:val="000000"/>
          <w:sz w:val="22"/>
          <w:szCs w:val="22"/>
        </w:rPr>
        <w:t>/2</w:t>
      </w:r>
      <w:r w:rsidR="00C32A4B">
        <w:rPr>
          <w:rFonts w:asciiTheme="minorHAnsi" w:hAnsiTheme="minorHAnsi" w:cs="Arial"/>
          <w:color w:val="000000"/>
          <w:sz w:val="22"/>
          <w:szCs w:val="22"/>
        </w:rPr>
        <w:t>4</w:t>
      </w:r>
      <w:r>
        <w:rPr>
          <w:rFonts w:asciiTheme="minorHAnsi" w:hAnsiTheme="minorHAnsi" w:cs="Arial"/>
          <w:color w:val="000000"/>
          <w:sz w:val="22"/>
          <w:szCs w:val="22"/>
        </w:rPr>
        <w:t xml:space="preserve"> t</w:t>
      </w:r>
      <w:r w:rsidRPr="005E1736">
        <w:rPr>
          <w:rFonts w:asciiTheme="minorHAnsi" w:hAnsiTheme="minorHAnsi" w:cs="Arial"/>
          <w:color w:val="000000"/>
          <w:sz w:val="22"/>
          <w:szCs w:val="22"/>
        </w:rPr>
        <w:t xml:space="preserve">he revised general ledger balances </w:t>
      </w:r>
      <w:r>
        <w:rPr>
          <w:rFonts w:asciiTheme="minorHAnsi" w:hAnsiTheme="minorHAnsi" w:cs="Arial"/>
          <w:color w:val="000000"/>
          <w:sz w:val="22"/>
          <w:szCs w:val="22"/>
        </w:rPr>
        <w:t>have been</w:t>
      </w:r>
      <w:r w:rsidRPr="005E1736">
        <w:rPr>
          <w:rFonts w:asciiTheme="minorHAnsi" w:hAnsiTheme="minorHAnsi" w:cs="Arial"/>
          <w:color w:val="000000"/>
          <w:sz w:val="22"/>
          <w:szCs w:val="22"/>
        </w:rPr>
        <w:t xml:space="preserve"> allocated </w:t>
      </w:r>
      <w:r>
        <w:rPr>
          <w:rFonts w:asciiTheme="minorHAnsi" w:hAnsiTheme="minorHAnsi" w:cs="Arial"/>
          <w:color w:val="000000"/>
          <w:sz w:val="22"/>
          <w:szCs w:val="22"/>
        </w:rPr>
        <w:t>to the Services and Activities in the OFWAT using the same percentages as used in 202</w:t>
      </w:r>
      <w:r w:rsidR="00C32A4B">
        <w:rPr>
          <w:rFonts w:asciiTheme="minorHAnsi" w:hAnsiTheme="minorHAnsi" w:cs="Arial"/>
          <w:color w:val="000000"/>
          <w:sz w:val="22"/>
          <w:szCs w:val="22"/>
        </w:rPr>
        <w:t>2</w:t>
      </w:r>
      <w:r>
        <w:rPr>
          <w:rFonts w:asciiTheme="minorHAnsi" w:hAnsiTheme="minorHAnsi" w:cs="Arial"/>
          <w:color w:val="000000"/>
          <w:sz w:val="22"/>
          <w:szCs w:val="22"/>
        </w:rPr>
        <w:t>/2</w:t>
      </w:r>
      <w:r w:rsidR="00C32A4B">
        <w:rPr>
          <w:rFonts w:asciiTheme="minorHAnsi" w:hAnsiTheme="minorHAnsi" w:cs="Arial"/>
          <w:color w:val="000000"/>
          <w:sz w:val="22"/>
          <w:szCs w:val="22"/>
        </w:rPr>
        <w:t>3</w:t>
      </w:r>
      <w:r>
        <w:rPr>
          <w:rFonts w:asciiTheme="minorHAnsi" w:hAnsiTheme="minorHAnsi" w:cs="Arial"/>
          <w:color w:val="000000"/>
          <w:sz w:val="22"/>
          <w:szCs w:val="22"/>
        </w:rPr>
        <w:t>, based on the full General Ledger posting accounts.</w:t>
      </w:r>
      <w:r w:rsidRPr="003013E5">
        <w:rPr>
          <w:rFonts w:asciiTheme="minorHAnsi" w:hAnsiTheme="minorHAnsi" w:cs="Arial"/>
          <w:color w:val="000000"/>
          <w:sz w:val="22"/>
          <w:szCs w:val="22"/>
        </w:rPr>
        <w:t xml:space="preserve"> </w:t>
      </w:r>
    </w:p>
    <w:p w14:paraId="0283436E" w14:textId="77777777" w:rsidR="007D1218" w:rsidRPr="005E1736" w:rsidRDefault="007D1218" w:rsidP="007D1218">
      <w:pPr>
        <w:rPr>
          <w:rFonts w:cs="Arial"/>
          <w:lang w:eastAsia="en-GB"/>
        </w:rPr>
      </w:pPr>
    </w:p>
    <w:p w14:paraId="00BE7F66" w14:textId="7693B278" w:rsidR="007D1218" w:rsidRPr="005E1736" w:rsidRDefault="007D1218" w:rsidP="009C3ABF">
      <w:pPr>
        <w:pStyle w:val="ListParagraph"/>
        <w:numPr>
          <w:ilvl w:val="1"/>
          <w:numId w:val="5"/>
        </w:numPr>
        <w:rPr>
          <w:rFonts w:asciiTheme="minorHAnsi" w:hAnsiTheme="minorHAnsi" w:cs="Arial"/>
          <w:color w:val="000000"/>
          <w:sz w:val="22"/>
          <w:szCs w:val="22"/>
        </w:rPr>
      </w:pPr>
      <w:r w:rsidRPr="005E1736">
        <w:rPr>
          <w:rFonts w:asciiTheme="minorHAnsi" w:hAnsiTheme="minorHAnsi" w:cs="Arial"/>
          <w:color w:val="000000"/>
          <w:sz w:val="22"/>
          <w:szCs w:val="22"/>
        </w:rPr>
        <w:t>Where costs are not wholly attributed to a specific service area, costs are allocated between service areas based on an underlying assessment of the costs and their respective drivers by management. The approach is consistent with the basis of allocation within each service area.</w:t>
      </w:r>
      <w:r>
        <w:rPr>
          <w:rFonts w:asciiTheme="minorHAnsi" w:hAnsiTheme="minorHAnsi" w:cs="Arial"/>
          <w:color w:val="000000"/>
          <w:sz w:val="22"/>
          <w:szCs w:val="22"/>
        </w:rPr>
        <w:t xml:space="preserve"> The cost driver metrics used in 202</w:t>
      </w:r>
      <w:r w:rsidR="00C32A4B">
        <w:rPr>
          <w:rFonts w:asciiTheme="minorHAnsi" w:hAnsiTheme="minorHAnsi" w:cs="Arial"/>
          <w:color w:val="000000"/>
          <w:sz w:val="22"/>
          <w:szCs w:val="22"/>
        </w:rPr>
        <w:t>2</w:t>
      </w:r>
      <w:r>
        <w:rPr>
          <w:rFonts w:asciiTheme="minorHAnsi" w:hAnsiTheme="minorHAnsi" w:cs="Arial"/>
          <w:color w:val="000000"/>
          <w:sz w:val="22"/>
          <w:szCs w:val="22"/>
        </w:rPr>
        <w:t>/</w:t>
      </w:r>
      <w:proofErr w:type="gramStart"/>
      <w:r>
        <w:rPr>
          <w:rFonts w:asciiTheme="minorHAnsi" w:hAnsiTheme="minorHAnsi" w:cs="Arial"/>
          <w:color w:val="000000"/>
          <w:sz w:val="22"/>
          <w:szCs w:val="22"/>
        </w:rPr>
        <w:t>2</w:t>
      </w:r>
      <w:r w:rsidR="00311197">
        <w:rPr>
          <w:rFonts w:asciiTheme="minorHAnsi" w:hAnsiTheme="minorHAnsi" w:cs="Arial"/>
          <w:color w:val="000000"/>
          <w:sz w:val="22"/>
          <w:szCs w:val="22"/>
        </w:rPr>
        <w:t>3</w:t>
      </w:r>
      <w:r>
        <w:rPr>
          <w:rFonts w:asciiTheme="minorHAnsi" w:hAnsiTheme="minorHAnsi" w:cs="Arial"/>
          <w:color w:val="000000"/>
          <w:sz w:val="22"/>
          <w:szCs w:val="22"/>
        </w:rPr>
        <w:t xml:space="preserve">  have</w:t>
      </w:r>
      <w:proofErr w:type="gramEnd"/>
      <w:r>
        <w:rPr>
          <w:rFonts w:asciiTheme="minorHAnsi" w:hAnsiTheme="minorHAnsi" w:cs="Arial"/>
          <w:color w:val="000000"/>
          <w:sz w:val="22"/>
          <w:szCs w:val="22"/>
        </w:rPr>
        <w:t xml:space="preserve"> been reviewed and where necessary updated for 202</w:t>
      </w:r>
      <w:r w:rsidR="00C32A4B">
        <w:rPr>
          <w:rFonts w:asciiTheme="minorHAnsi" w:hAnsiTheme="minorHAnsi" w:cs="Arial"/>
          <w:color w:val="000000"/>
          <w:sz w:val="22"/>
          <w:szCs w:val="22"/>
        </w:rPr>
        <w:t>3</w:t>
      </w:r>
      <w:r>
        <w:rPr>
          <w:rFonts w:asciiTheme="minorHAnsi" w:hAnsiTheme="minorHAnsi" w:cs="Arial"/>
          <w:color w:val="000000"/>
          <w:sz w:val="22"/>
          <w:szCs w:val="22"/>
        </w:rPr>
        <w:t>/2</w:t>
      </w:r>
      <w:r w:rsidR="00C32A4B">
        <w:rPr>
          <w:rFonts w:asciiTheme="minorHAnsi" w:hAnsiTheme="minorHAnsi" w:cs="Arial"/>
          <w:color w:val="000000"/>
          <w:sz w:val="22"/>
          <w:szCs w:val="22"/>
        </w:rPr>
        <w:t>4</w:t>
      </w:r>
      <w:r>
        <w:rPr>
          <w:rFonts w:asciiTheme="minorHAnsi" w:hAnsiTheme="minorHAnsi" w:cs="Arial"/>
          <w:color w:val="000000"/>
          <w:sz w:val="22"/>
          <w:szCs w:val="22"/>
        </w:rPr>
        <w:t>.</w:t>
      </w:r>
    </w:p>
    <w:p w14:paraId="272A1485" w14:textId="77777777" w:rsidR="007D1218" w:rsidRPr="0091297D" w:rsidRDefault="007D1218" w:rsidP="007D1218">
      <w:pPr>
        <w:pStyle w:val="ListParagraph"/>
        <w:ind w:left="927"/>
        <w:rPr>
          <w:rFonts w:asciiTheme="minorHAnsi" w:hAnsiTheme="minorHAnsi" w:cs="Arial"/>
          <w:sz w:val="22"/>
          <w:szCs w:val="22"/>
          <w:highlight w:val="yellow"/>
          <w:lang w:eastAsia="en-GB"/>
        </w:rPr>
      </w:pPr>
      <w:r w:rsidRPr="0091297D">
        <w:rPr>
          <w:rFonts w:asciiTheme="minorHAnsi" w:hAnsiTheme="minorHAnsi" w:cs="Arial"/>
          <w:sz w:val="22"/>
          <w:szCs w:val="22"/>
          <w:highlight w:val="yellow"/>
          <w:lang w:eastAsia="en-GB"/>
        </w:rPr>
        <w:t xml:space="preserve"> </w:t>
      </w:r>
    </w:p>
    <w:p w14:paraId="14620017" w14:textId="77777777" w:rsidR="007D1218" w:rsidRPr="0091297D" w:rsidRDefault="007D1218" w:rsidP="007D1218">
      <w:pPr>
        <w:rPr>
          <w:b/>
          <w:highlight w:val="yellow"/>
        </w:rPr>
      </w:pPr>
      <w:bookmarkStart w:id="14" w:name="_Toc389044478"/>
      <w:r w:rsidRPr="0091297D">
        <w:rPr>
          <w:highlight w:val="yellow"/>
        </w:rPr>
        <w:br w:type="page"/>
      </w:r>
    </w:p>
    <w:p w14:paraId="6BC4CA6E" w14:textId="61F308E8" w:rsidR="00DB4B44" w:rsidRPr="00DB4B44" w:rsidRDefault="007D1218" w:rsidP="00DB4B44">
      <w:pPr>
        <w:pStyle w:val="Heading1"/>
      </w:pPr>
      <w:bookmarkStart w:id="15" w:name="_Toc172019347"/>
      <w:bookmarkEnd w:id="14"/>
      <w:r w:rsidRPr="000E4FA4">
        <w:lastRenderedPageBreak/>
        <w:t>WHOLESALE COST ALLOCATIONS</w:t>
      </w:r>
      <w:bookmarkEnd w:id="15"/>
      <w:r w:rsidR="008E5D24">
        <w:t xml:space="preserve">   </w:t>
      </w:r>
    </w:p>
    <w:p w14:paraId="0B75D0A8" w14:textId="77777777" w:rsidR="007D1218" w:rsidRPr="0091297D" w:rsidRDefault="007D1218" w:rsidP="007D1218">
      <w:pPr>
        <w:tabs>
          <w:tab w:val="left" w:pos="720"/>
        </w:tabs>
        <w:overflowPunct w:val="0"/>
        <w:autoSpaceDE w:val="0"/>
        <w:autoSpaceDN w:val="0"/>
        <w:adjustRightInd w:val="0"/>
        <w:textAlignment w:val="baseline"/>
        <w:rPr>
          <w:rFonts w:cs="Arial"/>
          <w:highlight w:val="yellow"/>
          <w:lang w:eastAsia="en-GB"/>
        </w:rPr>
      </w:pPr>
    </w:p>
    <w:p w14:paraId="41D26D53" w14:textId="77777777" w:rsidR="007D1218" w:rsidRPr="0091297D" w:rsidRDefault="007D1218" w:rsidP="009C3ABF">
      <w:pPr>
        <w:pStyle w:val="ListParagraph"/>
        <w:numPr>
          <w:ilvl w:val="0"/>
          <w:numId w:val="5"/>
        </w:numPr>
        <w:rPr>
          <w:rFonts w:asciiTheme="minorHAnsi" w:hAnsiTheme="minorHAnsi" w:cs="Arial"/>
          <w:vanish/>
          <w:color w:val="000000"/>
          <w:sz w:val="22"/>
          <w:szCs w:val="22"/>
          <w:highlight w:val="yellow"/>
        </w:rPr>
      </w:pPr>
    </w:p>
    <w:p w14:paraId="40B8D265" w14:textId="7C61EDDF" w:rsidR="007D1218" w:rsidRDefault="007D1218" w:rsidP="009C3ABF">
      <w:pPr>
        <w:pStyle w:val="ListParagraph"/>
        <w:numPr>
          <w:ilvl w:val="1"/>
          <w:numId w:val="5"/>
        </w:numPr>
        <w:rPr>
          <w:rFonts w:asciiTheme="minorHAnsi" w:hAnsiTheme="minorHAnsi" w:cs="Arial"/>
          <w:color w:val="000000"/>
          <w:sz w:val="22"/>
          <w:szCs w:val="22"/>
        </w:rPr>
      </w:pPr>
      <w:r>
        <w:rPr>
          <w:rFonts w:asciiTheme="minorHAnsi" w:hAnsiTheme="minorHAnsi" w:cs="Arial"/>
          <w:color w:val="000000"/>
          <w:sz w:val="22"/>
          <w:szCs w:val="22"/>
        </w:rPr>
        <w:t>Following publication of the updated Regulatory Accounting Guidelines (RAGs), version 4.</w:t>
      </w:r>
      <w:r w:rsidR="00311197">
        <w:rPr>
          <w:rFonts w:asciiTheme="minorHAnsi" w:hAnsiTheme="minorHAnsi" w:cs="Arial"/>
          <w:color w:val="000000"/>
          <w:sz w:val="22"/>
          <w:szCs w:val="22"/>
        </w:rPr>
        <w:t>12</w:t>
      </w:r>
      <w:r>
        <w:rPr>
          <w:rFonts w:asciiTheme="minorHAnsi" w:hAnsiTheme="minorHAnsi" w:cs="Arial"/>
          <w:color w:val="000000"/>
          <w:sz w:val="22"/>
          <w:szCs w:val="22"/>
        </w:rPr>
        <w:t>, and confirmation of two new price controls wholesale cost allocations have been reviewed and updated as required.</w:t>
      </w:r>
    </w:p>
    <w:p w14:paraId="0D6C488F" w14:textId="77777777" w:rsidR="007D1218" w:rsidRPr="000E4FA4" w:rsidRDefault="007D1218" w:rsidP="009C3ABF">
      <w:pPr>
        <w:pStyle w:val="ListParagraph"/>
        <w:numPr>
          <w:ilvl w:val="1"/>
          <w:numId w:val="5"/>
        </w:numPr>
        <w:rPr>
          <w:rFonts w:asciiTheme="minorHAnsi" w:hAnsiTheme="minorHAnsi" w:cs="Arial"/>
          <w:color w:val="000000"/>
          <w:sz w:val="22"/>
          <w:szCs w:val="22"/>
        </w:rPr>
      </w:pPr>
      <w:r w:rsidRPr="000E4FA4">
        <w:rPr>
          <w:rFonts w:asciiTheme="minorHAnsi" w:hAnsiTheme="minorHAnsi" w:cs="Arial"/>
          <w:color w:val="000000"/>
          <w:sz w:val="22"/>
          <w:szCs w:val="22"/>
        </w:rPr>
        <w:t xml:space="preserve">The process of cost allocation for </w:t>
      </w:r>
      <w:r w:rsidRPr="008B45DA">
        <w:rPr>
          <w:rFonts w:asciiTheme="minorHAnsi" w:hAnsiTheme="minorHAnsi" w:cs="Arial"/>
          <w:color w:val="000000"/>
          <w:sz w:val="22"/>
          <w:szCs w:val="22"/>
        </w:rPr>
        <w:t xml:space="preserve">the Wholesale </w:t>
      </w:r>
      <w:r w:rsidRPr="000E4FA4">
        <w:rPr>
          <w:rFonts w:asciiTheme="minorHAnsi" w:hAnsiTheme="minorHAnsi" w:cs="Arial"/>
          <w:color w:val="000000"/>
          <w:sz w:val="22"/>
          <w:szCs w:val="22"/>
        </w:rPr>
        <w:t>tables is explained below:</w:t>
      </w:r>
    </w:p>
    <w:p w14:paraId="0E283D97" w14:textId="77777777" w:rsidR="007D1218" w:rsidRDefault="007D1218" w:rsidP="007D1218">
      <w:pPr>
        <w:pStyle w:val="ListParagraph"/>
        <w:ind w:left="432"/>
        <w:rPr>
          <w:rFonts w:asciiTheme="minorHAnsi" w:hAnsiTheme="minorHAnsi" w:cs="Arial"/>
          <w:color w:val="000000"/>
          <w:sz w:val="22"/>
          <w:szCs w:val="22"/>
        </w:rPr>
      </w:pPr>
    </w:p>
    <w:p w14:paraId="38CF80B4" w14:textId="77777777" w:rsidR="007D1218" w:rsidRPr="00F13F3C" w:rsidRDefault="007D1218" w:rsidP="009C3ABF">
      <w:pPr>
        <w:pStyle w:val="ListParagraph"/>
        <w:numPr>
          <w:ilvl w:val="1"/>
          <w:numId w:val="5"/>
        </w:numPr>
        <w:rPr>
          <w:rFonts w:asciiTheme="minorHAnsi" w:hAnsiTheme="minorHAnsi" w:cs="Arial"/>
          <w:color w:val="000000"/>
          <w:sz w:val="22"/>
          <w:szCs w:val="22"/>
        </w:rPr>
      </w:pPr>
      <w:r w:rsidRPr="001C2E7A">
        <w:rPr>
          <w:rFonts w:asciiTheme="minorHAnsi" w:hAnsiTheme="minorHAnsi" w:cs="Arial"/>
          <w:color w:val="000000"/>
          <w:sz w:val="22"/>
          <w:szCs w:val="22"/>
        </w:rPr>
        <w:t>Wholesale costs</w:t>
      </w:r>
      <w:r w:rsidRPr="001C2E7A">
        <w:rPr>
          <w:rFonts w:asciiTheme="minorHAnsi" w:hAnsiTheme="minorHAnsi" w:cs="Arial"/>
          <w:sz w:val="22"/>
          <w:szCs w:val="22"/>
          <w:lang w:eastAsia="en-GB"/>
        </w:rPr>
        <w:t xml:space="preserve"> are </w:t>
      </w:r>
      <w:r>
        <w:rPr>
          <w:rFonts w:asciiTheme="minorHAnsi" w:hAnsiTheme="minorHAnsi" w:cs="Arial"/>
          <w:sz w:val="22"/>
          <w:szCs w:val="22"/>
          <w:lang w:eastAsia="en-GB"/>
        </w:rPr>
        <w:t>initially allocated between four prices controls before then being allocated to eight business units. The final step in the process is to then allocate costs to services. The table below shows the link between each of the allocation levels:</w:t>
      </w:r>
    </w:p>
    <w:p w14:paraId="0B8951BC" w14:textId="77777777" w:rsidR="007D1218" w:rsidRPr="00933C39" w:rsidRDefault="007D1218" w:rsidP="007D1218">
      <w:pPr>
        <w:rPr>
          <w:rFonts w:cs="Arial"/>
          <w:color w:val="000000"/>
        </w:rPr>
      </w:pPr>
    </w:p>
    <w:p w14:paraId="2E1152B2" w14:textId="77777777" w:rsidR="007D1218" w:rsidRPr="001C2E7A" w:rsidRDefault="007D1218" w:rsidP="007D1218">
      <w:pPr>
        <w:pStyle w:val="ListParagraph"/>
        <w:tabs>
          <w:tab w:val="left" w:pos="720"/>
        </w:tabs>
        <w:overflowPunct w:val="0"/>
        <w:autoSpaceDE w:val="0"/>
        <w:autoSpaceDN w:val="0"/>
        <w:adjustRightInd w:val="0"/>
        <w:ind w:left="360"/>
        <w:textAlignment w:val="baseline"/>
        <w:rPr>
          <w:rFonts w:asciiTheme="minorHAnsi" w:hAnsiTheme="minorHAnsi" w:cs="Arial"/>
          <w:sz w:val="22"/>
          <w:szCs w:val="22"/>
          <w:lang w:eastAsia="en-GB"/>
        </w:rPr>
      </w:pPr>
    </w:p>
    <w:tbl>
      <w:tblPr>
        <w:tblStyle w:val="TableGrid"/>
        <w:tblW w:w="0" w:type="auto"/>
        <w:tblInd w:w="534" w:type="dxa"/>
        <w:tblLook w:val="04A0" w:firstRow="1" w:lastRow="0" w:firstColumn="1" w:lastColumn="0" w:noHBand="0" w:noVBand="1"/>
      </w:tblPr>
      <w:tblGrid>
        <w:gridCol w:w="1712"/>
        <w:gridCol w:w="2526"/>
        <w:gridCol w:w="2895"/>
      </w:tblGrid>
      <w:tr w:rsidR="007D1218" w:rsidRPr="001C2E7A" w14:paraId="49BA1C92" w14:textId="77777777" w:rsidTr="008B45DA">
        <w:tc>
          <w:tcPr>
            <w:tcW w:w="1712" w:type="dxa"/>
            <w:vAlign w:val="center"/>
          </w:tcPr>
          <w:p w14:paraId="699E2F62" w14:textId="77777777" w:rsidR="007D1218" w:rsidRPr="001C2E7A" w:rsidRDefault="007D1218" w:rsidP="008B45DA">
            <w:pPr>
              <w:spacing w:before="120"/>
              <w:rPr>
                <w:rFonts w:cs="Arial"/>
                <w:color w:val="000000"/>
                <w:sz w:val="20"/>
                <w:szCs w:val="20"/>
              </w:rPr>
            </w:pPr>
            <w:r>
              <w:rPr>
                <w:rFonts w:cs="Arial"/>
                <w:color w:val="000000"/>
                <w:sz w:val="20"/>
                <w:szCs w:val="20"/>
              </w:rPr>
              <w:t>Price Control</w:t>
            </w:r>
          </w:p>
        </w:tc>
        <w:tc>
          <w:tcPr>
            <w:tcW w:w="2526" w:type="dxa"/>
          </w:tcPr>
          <w:p w14:paraId="748CAFB2" w14:textId="77777777" w:rsidR="007D1218" w:rsidRPr="001C2E7A" w:rsidRDefault="007D1218" w:rsidP="008B45DA">
            <w:pPr>
              <w:spacing w:before="120"/>
              <w:rPr>
                <w:rFonts w:cs="Arial"/>
                <w:color w:val="000000"/>
                <w:sz w:val="20"/>
                <w:szCs w:val="20"/>
              </w:rPr>
            </w:pPr>
            <w:r>
              <w:rPr>
                <w:rFonts w:cs="Arial"/>
                <w:color w:val="000000"/>
                <w:sz w:val="20"/>
                <w:szCs w:val="20"/>
              </w:rPr>
              <w:t>Business Unit</w:t>
            </w:r>
          </w:p>
        </w:tc>
        <w:tc>
          <w:tcPr>
            <w:tcW w:w="2895" w:type="dxa"/>
          </w:tcPr>
          <w:p w14:paraId="543D2B7C" w14:textId="77777777" w:rsidR="007D1218" w:rsidRPr="001C2E7A" w:rsidRDefault="007D1218" w:rsidP="008B45DA">
            <w:pPr>
              <w:spacing w:before="120"/>
              <w:rPr>
                <w:rFonts w:cs="Arial"/>
                <w:color w:val="000000"/>
                <w:sz w:val="20"/>
                <w:szCs w:val="20"/>
              </w:rPr>
            </w:pPr>
            <w:r>
              <w:rPr>
                <w:rFonts w:cs="Arial"/>
                <w:color w:val="000000"/>
                <w:sz w:val="20"/>
                <w:szCs w:val="20"/>
              </w:rPr>
              <w:t>Service</w:t>
            </w:r>
          </w:p>
        </w:tc>
      </w:tr>
      <w:tr w:rsidR="007D1218" w:rsidRPr="001C2E7A" w14:paraId="35D4DE59" w14:textId="77777777" w:rsidTr="008B45DA">
        <w:tc>
          <w:tcPr>
            <w:tcW w:w="1712" w:type="dxa"/>
            <w:vMerge w:val="restart"/>
            <w:vAlign w:val="center"/>
          </w:tcPr>
          <w:p w14:paraId="03E6F5CB" w14:textId="77777777" w:rsidR="007D1218" w:rsidRPr="001C2E7A" w:rsidRDefault="007D1218" w:rsidP="008B45DA">
            <w:pPr>
              <w:spacing w:before="120"/>
              <w:rPr>
                <w:rFonts w:cs="Arial"/>
                <w:color w:val="000000"/>
                <w:sz w:val="20"/>
                <w:szCs w:val="20"/>
              </w:rPr>
            </w:pPr>
            <w:r>
              <w:rPr>
                <w:rFonts w:cs="Arial"/>
                <w:color w:val="000000"/>
                <w:sz w:val="20"/>
                <w:szCs w:val="20"/>
              </w:rPr>
              <w:t>Water Resources</w:t>
            </w:r>
          </w:p>
        </w:tc>
        <w:tc>
          <w:tcPr>
            <w:tcW w:w="2526" w:type="dxa"/>
            <w:vMerge w:val="restart"/>
            <w:vAlign w:val="center"/>
          </w:tcPr>
          <w:p w14:paraId="4E701DAC" w14:textId="77777777" w:rsidR="007D1218" w:rsidRPr="001C2E7A" w:rsidRDefault="007D1218" w:rsidP="008B45DA">
            <w:pPr>
              <w:spacing w:before="120"/>
              <w:jc w:val="center"/>
              <w:rPr>
                <w:rFonts w:cs="Arial"/>
                <w:color w:val="000000"/>
                <w:sz w:val="20"/>
                <w:szCs w:val="20"/>
              </w:rPr>
            </w:pPr>
            <w:r>
              <w:rPr>
                <w:rFonts w:cs="Arial"/>
                <w:color w:val="000000"/>
                <w:sz w:val="20"/>
                <w:szCs w:val="20"/>
              </w:rPr>
              <w:t>Water Resources</w:t>
            </w:r>
          </w:p>
        </w:tc>
        <w:tc>
          <w:tcPr>
            <w:tcW w:w="2895" w:type="dxa"/>
          </w:tcPr>
          <w:p w14:paraId="3E2F40C7" w14:textId="77777777" w:rsidR="007D1218" w:rsidRPr="001C2E7A" w:rsidRDefault="007D1218" w:rsidP="008B45DA">
            <w:pPr>
              <w:spacing w:before="120"/>
              <w:rPr>
                <w:rFonts w:cs="Arial"/>
                <w:color w:val="000000"/>
                <w:sz w:val="20"/>
                <w:szCs w:val="20"/>
              </w:rPr>
            </w:pPr>
            <w:r>
              <w:rPr>
                <w:rFonts w:cs="Arial"/>
                <w:color w:val="000000"/>
                <w:sz w:val="20"/>
                <w:szCs w:val="20"/>
              </w:rPr>
              <w:t>Abstraction Licences</w:t>
            </w:r>
          </w:p>
        </w:tc>
      </w:tr>
      <w:tr w:rsidR="007D1218" w:rsidRPr="001C2E7A" w14:paraId="3FCFF890" w14:textId="77777777" w:rsidTr="008B45DA">
        <w:tc>
          <w:tcPr>
            <w:tcW w:w="1712" w:type="dxa"/>
            <w:vMerge/>
            <w:vAlign w:val="center"/>
          </w:tcPr>
          <w:p w14:paraId="4262BDD2" w14:textId="77777777" w:rsidR="007D1218" w:rsidRPr="001C2E7A" w:rsidRDefault="007D1218" w:rsidP="008B45DA">
            <w:pPr>
              <w:spacing w:before="120"/>
              <w:rPr>
                <w:rFonts w:cs="Arial"/>
                <w:color w:val="000000"/>
                <w:sz w:val="20"/>
                <w:szCs w:val="20"/>
              </w:rPr>
            </w:pPr>
          </w:p>
        </w:tc>
        <w:tc>
          <w:tcPr>
            <w:tcW w:w="2526" w:type="dxa"/>
            <w:vMerge/>
          </w:tcPr>
          <w:p w14:paraId="6118F1AF" w14:textId="77777777" w:rsidR="007D1218" w:rsidRPr="001C2E7A" w:rsidRDefault="007D1218" w:rsidP="008B45DA">
            <w:pPr>
              <w:spacing w:before="120"/>
              <w:jc w:val="center"/>
              <w:rPr>
                <w:rFonts w:cs="Arial"/>
                <w:color w:val="000000"/>
                <w:sz w:val="20"/>
                <w:szCs w:val="20"/>
              </w:rPr>
            </w:pPr>
          </w:p>
        </w:tc>
        <w:tc>
          <w:tcPr>
            <w:tcW w:w="2895" w:type="dxa"/>
          </w:tcPr>
          <w:p w14:paraId="14FCC2F5" w14:textId="77777777" w:rsidR="007D1218" w:rsidRPr="001C2E7A" w:rsidRDefault="007D1218" w:rsidP="008B45DA">
            <w:pPr>
              <w:spacing w:before="120"/>
              <w:rPr>
                <w:rFonts w:cs="Arial"/>
                <w:color w:val="000000"/>
                <w:sz w:val="20"/>
                <w:szCs w:val="20"/>
              </w:rPr>
            </w:pPr>
            <w:r>
              <w:rPr>
                <w:rFonts w:cs="Arial"/>
                <w:color w:val="000000"/>
                <w:sz w:val="20"/>
                <w:szCs w:val="20"/>
              </w:rPr>
              <w:t>Raw Water Abstraction</w:t>
            </w:r>
          </w:p>
        </w:tc>
      </w:tr>
      <w:tr w:rsidR="007D1218" w:rsidRPr="001C2E7A" w14:paraId="233CCB02" w14:textId="77777777" w:rsidTr="008B45DA">
        <w:tc>
          <w:tcPr>
            <w:tcW w:w="1712" w:type="dxa"/>
            <w:vMerge w:val="restart"/>
            <w:vAlign w:val="center"/>
          </w:tcPr>
          <w:p w14:paraId="287F71B3" w14:textId="77777777" w:rsidR="007D1218" w:rsidRPr="001C2E7A" w:rsidRDefault="007D1218" w:rsidP="008B45DA">
            <w:pPr>
              <w:spacing w:before="120"/>
              <w:rPr>
                <w:rFonts w:cs="Arial"/>
                <w:color w:val="000000"/>
                <w:sz w:val="20"/>
                <w:szCs w:val="20"/>
              </w:rPr>
            </w:pPr>
            <w:r>
              <w:rPr>
                <w:rFonts w:cs="Arial"/>
                <w:color w:val="000000"/>
                <w:sz w:val="20"/>
                <w:szCs w:val="20"/>
              </w:rPr>
              <w:t>Wa</w:t>
            </w:r>
            <w:r w:rsidRPr="00A615AF">
              <w:rPr>
                <w:rFonts w:cs="Arial"/>
                <w:color w:val="000000"/>
                <w:sz w:val="20"/>
                <w:szCs w:val="20"/>
              </w:rPr>
              <w:t>ter Network+</w:t>
            </w:r>
          </w:p>
        </w:tc>
        <w:tc>
          <w:tcPr>
            <w:tcW w:w="2526" w:type="dxa"/>
          </w:tcPr>
          <w:p w14:paraId="3C399B25" w14:textId="77777777" w:rsidR="007D1218" w:rsidRPr="001C2E7A" w:rsidRDefault="007D1218" w:rsidP="008B45DA">
            <w:pPr>
              <w:spacing w:before="120"/>
              <w:jc w:val="center"/>
              <w:rPr>
                <w:rFonts w:cs="Arial"/>
                <w:color w:val="000000"/>
                <w:sz w:val="20"/>
                <w:szCs w:val="20"/>
              </w:rPr>
            </w:pPr>
            <w:r>
              <w:rPr>
                <w:rFonts w:cs="Arial"/>
                <w:color w:val="000000"/>
                <w:sz w:val="20"/>
                <w:szCs w:val="20"/>
              </w:rPr>
              <w:t>Raw Water Transport</w:t>
            </w:r>
          </w:p>
        </w:tc>
        <w:tc>
          <w:tcPr>
            <w:tcW w:w="2895" w:type="dxa"/>
          </w:tcPr>
          <w:p w14:paraId="0901C059" w14:textId="77777777" w:rsidR="007D1218" w:rsidRPr="001C2E7A" w:rsidRDefault="007D1218" w:rsidP="008B45DA">
            <w:pPr>
              <w:spacing w:before="120"/>
              <w:rPr>
                <w:rFonts w:cs="Arial"/>
                <w:color w:val="000000"/>
                <w:sz w:val="20"/>
                <w:szCs w:val="20"/>
              </w:rPr>
            </w:pPr>
            <w:r>
              <w:rPr>
                <w:rFonts w:cs="Arial"/>
                <w:color w:val="000000"/>
                <w:sz w:val="20"/>
                <w:szCs w:val="20"/>
              </w:rPr>
              <w:t>Raw Water Transport</w:t>
            </w:r>
          </w:p>
        </w:tc>
      </w:tr>
      <w:tr w:rsidR="007D1218" w:rsidRPr="001C2E7A" w14:paraId="4D97AF78" w14:textId="77777777" w:rsidTr="008B45DA">
        <w:tc>
          <w:tcPr>
            <w:tcW w:w="1712" w:type="dxa"/>
            <w:vMerge/>
          </w:tcPr>
          <w:p w14:paraId="6E44D9CD" w14:textId="77777777" w:rsidR="007D1218" w:rsidRPr="001C2E7A" w:rsidRDefault="007D1218" w:rsidP="008B45DA">
            <w:pPr>
              <w:spacing w:before="120"/>
              <w:rPr>
                <w:rFonts w:cs="Arial"/>
                <w:color w:val="000000"/>
                <w:sz w:val="20"/>
                <w:szCs w:val="20"/>
              </w:rPr>
            </w:pPr>
          </w:p>
        </w:tc>
        <w:tc>
          <w:tcPr>
            <w:tcW w:w="2526" w:type="dxa"/>
          </w:tcPr>
          <w:p w14:paraId="626471A6" w14:textId="77777777" w:rsidR="007D1218" w:rsidRPr="001C2E7A" w:rsidRDefault="007D1218" w:rsidP="008B45DA">
            <w:pPr>
              <w:spacing w:before="120"/>
              <w:jc w:val="center"/>
              <w:rPr>
                <w:rFonts w:cs="Arial"/>
                <w:color w:val="000000"/>
                <w:sz w:val="20"/>
                <w:szCs w:val="20"/>
              </w:rPr>
            </w:pPr>
            <w:r>
              <w:rPr>
                <w:rFonts w:cs="Arial"/>
                <w:color w:val="000000"/>
                <w:sz w:val="20"/>
                <w:szCs w:val="20"/>
              </w:rPr>
              <w:t>Raw Water Storage</w:t>
            </w:r>
          </w:p>
        </w:tc>
        <w:tc>
          <w:tcPr>
            <w:tcW w:w="2895" w:type="dxa"/>
          </w:tcPr>
          <w:p w14:paraId="4268E7F6" w14:textId="77777777" w:rsidR="007D1218" w:rsidRPr="001C2E7A" w:rsidRDefault="007D1218" w:rsidP="008B45DA">
            <w:pPr>
              <w:spacing w:before="120"/>
              <w:rPr>
                <w:rFonts w:cs="Arial"/>
                <w:color w:val="000000"/>
                <w:sz w:val="20"/>
                <w:szCs w:val="20"/>
              </w:rPr>
            </w:pPr>
            <w:r>
              <w:rPr>
                <w:rFonts w:cs="Arial"/>
                <w:color w:val="000000"/>
                <w:sz w:val="20"/>
                <w:szCs w:val="20"/>
              </w:rPr>
              <w:t>Raw Water Storage</w:t>
            </w:r>
          </w:p>
        </w:tc>
      </w:tr>
      <w:tr w:rsidR="007D1218" w:rsidRPr="001C2E7A" w14:paraId="69B7F748" w14:textId="77777777" w:rsidTr="008B45DA">
        <w:tc>
          <w:tcPr>
            <w:tcW w:w="1712" w:type="dxa"/>
            <w:vMerge/>
          </w:tcPr>
          <w:p w14:paraId="4F336609" w14:textId="77777777" w:rsidR="007D1218" w:rsidRPr="001C2E7A" w:rsidRDefault="007D1218" w:rsidP="008B45DA">
            <w:pPr>
              <w:spacing w:before="120"/>
              <w:rPr>
                <w:rFonts w:cs="Arial"/>
                <w:color w:val="000000"/>
                <w:sz w:val="20"/>
                <w:szCs w:val="20"/>
              </w:rPr>
            </w:pPr>
          </w:p>
        </w:tc>
        <w:tc>
          <w:tcPr>
            <w:tcW w:w="2526" w:type="dxa"/>
          </w:tcPr>
          <w:p w14:paraId="01DE4023" w14:textId="77777777" w:rsidR="007D1218" w:rsidRPr="001C2E7A" w:rsidRDefault="007D1218" w:rsidP="008B45DA">
            <w:pPr>
              <w:spacing w:before="120"/>
              <w:jc w:val="center"/>
              <w:rPr>
                <w:rFonts w:cs="Arial"/>
                <w:color w:val="000000"/>
                <w:sz w:val="20"/>
                <w:szCs w:val="20"/>
              </w:rPr>
            </w:pPr>
            <w:r>
              <w:rPr>
                <w:rFonts w:cs="Arial"/>
                <w:color w:val="000000"/>
                <w:sz w:val="20"/>
                <w:szCs w:val="20"/>
              </w:rPr>
              <w:t>Water Treatment</w:t>
            </w:r>
          </w:p>
        </w:tc>
        <w:tc>
          <w:tcPr>
            <w:tcW w:w="2895" w:type="dxa"/>
          </w:tcPr>
          <w:p w14:paraId="464F4286" w14:textId="77777777" w:rsidR="007D1218" w:rsidRPr="001C2E7A" w:rsidRDefault="007D1218" w:rsidP="008B45DA">
            <w:pPr>
              <w:spacing w:before="120"/>
              <w:rPr>
                <w:rFonts w:cs="Arial"/>
                <w:color w:val="000000"/>
                <w:sz w:val="20"/>
                <w:szCs w:val="20"/>
              </w:rPr>
            </w:pPr>
            <w:r>
              <w:rPr>
                <w:rFonts w:cs="Arial"/>
                <w:color w:val="000000"/>
                <w:sz w:val="20"/>
                <w:szCs w:val="20"/>
              </w:rPr>
              <w:t>Water Treatment</w:t>
            </w:r>
          </w:p>
        </w:tc>
      </w:tr>
      <w:tr w:rsidR="007D1218" w:rsidRPr="001C2E7A" w14:paraId="47709039" w14:textId="77777777" w:rsidTr="008B45DA">
        <w:tc>
          <w:tcPr>
            <w:tcW w:w="1712" w:type="dxa"/>
            <w:vMerge/>
          </w:tcPr>
          <w:p w14:paraId="51966583" w14:textId="77777777" w:rsidR="007D1218" w:rsidRPr="001C2E7A" w:rsidRDefault="007D1218" w:rsidP="008B45DA">
            <w:pPr>
              <w:spacing w:before="120"/>
              <w:rPr>
                <w:rFonts w:cs="Arial"/>
                <w:color w:val="000000"/>
                <w:sz w:val="20"/>
                <w:szCs w:val="20"/>
              </w:rPr>
            </w:pPr>
          </w:p>
        </w:tc>
        <w:tc>
          <w:tcPr>
            <w:tcW w:w="2526" w:type="dxa"/>
          </w:tcPr>
          <w:p w14:paraId="11C1430F" w14:textId="77777777" w:rsidR="007D1218" w:rsidRPr="001C2E7A" w:rsidRDefault="007D1218" w:rsidP="008B45DA">
            <w:pPr>
              <w:spacing w:before="120"/>
              <w:jc w:val="center"/>
              <w:rPr>
                <w:rFonts w:cs="Arial"/>
                <w:color w:val="000000"/>
                <w:sz w:val="20"/>
                <w:szCs w:val="20"/>
              </w:rPr>
            </w:pPr>
            <w:r>
              <w:rPr>
                <w:rFonts w:cs="Arial"/>
                <w:color w:val="000000"/>
                <w:sz w:val="20"/>
                <w:szCs w:val="20"/>
              </w:rPr>
              <w:t>Treated Water Distribution</w:t>
            </w:r>
          </w:p>
        </w:tc>
        <w:tc>
          <w:tcPr>
            <w:tcW w:w="2895" w:type="dxa"/>
          </w:tcPr>
          <w:p w14:paraId="3E366294" w14:textId="77777777" w:rsidR="007D1218" w:rsidRPr="001C2E7A" w:rsidRDefault="007D1218" w:rsidP="008B45DA">
            <w:pPr>
              <w:spacing w:before="120"/>
              <w:rPr>
                <w:rFonts w:cs="Arial"/>
                <w:color w:val="000000"/>
                <w:sz w:val="20"/>
                <w:szCs w:val="20"/>
              </w:rPr>
            </w:pPr>
            <w:r>
              <w:rPr>
                <w:rFonts w:cs="Arial"/>
                <w:color w:val="000000"/>
                <w:sz w:val="20"/>
                <w:szCs w:val="20"/>
              </w:rPr>
              <w:t>Treated Water Distribution</w:t>
            </w:r>
          </w:p>
        </w:tc>
      </w:tr>
      <w:tr w:rsidR="007D1218" w:rsidRPr="001C2E7A" w14:paraId="4B6A6DA2" w14:textId="77777777" w:rsidTr="008B45DA">
        <w:tc>
          <w:tcPr>
            <w:tcW w:w="1712" w:type="dxa"/>
            <w:vMerge w:val="restart"/>
            <w:vAlign w:val="center"/>
          </w:tcPr>
          <w:p w14:paraId="4459A6FC" w14:textId="77777777" w:rsidR="007D1218" w:rsidRPr="001C2E7A" w:rsidRDefault="007D1218" w:rsidP="008B45DA">
            <w:pPr>
              <w:spacing w:before="120"/>
              <w:rPr>
                <w:rFonts w:cs="Arial"/>
                <w:color w:val="000000"/>
                <w:sz w:val="20"/>
                <w:szCs w:val="20"/>
              </w:rPr>
            </w:pPr>
            <w:r>
              <w:rPr>
                <w:rFonts w:cs="Arial"/>
                <w:color w:val="000000"/>
                <w:sz w:val="20"/>
                <w:szCs w:val="20"/>
              </w:rPr>
              <w:t>Wastewater Network+</w:t>
            </w:r>
          </w:p>
        </w:tc>
        <w:tc>
          <w:tcPr>
            <w:tcW w:w="2526" w:type="dxa"/>
            <w:vMerge w:val="restart"/>
            <w:vAlign w:val="center"/>
          </w:tcPr>
          <w:p w14:paraId="3E67E7F1" w14:textId="77777777" w:rsidR="007D1218" w:rsidRPr="001C2E7A" w:rsidRDefault="007D1218" w:rsidP="008B45DA">
            <w:pPr>
              <w:spacing w:before="120"/>
              <w:jc w:val="center"/>
              <w:rPr>
                <w:rFonts w:cs="Arial"/>
                <w:color w:val="000000"/>
                <w:sz w:val="20"/>
                <w:szCs w:val="20"/>
              </w:rPr>
            </w:pPr>
            <w:r>
              <w:rPr>
                <w:rFonts w:cs="Arial"/>
                <w:color w:val="000000"/>
                <w:sz w:val="20"/>
                <w:szCs w:val="20"/>
              </w:rPr>
              <w:t>Sewage Collection</w:t>
            </w:r>
          </w:p>
        </w:tc>
        <w:tc>
          <w:tcPr>
            <w:tcW w:w="2895" w:type="dxa"/>
          </w:tcPr>
          <w:p w14:paraId="3339CC96" w14:textId="77777777" w:rsidR="007D1218" w:rsidRPr="001C2E7A" w:rsidRDefault="007D1218" w:rsidP="008B45DA">
            <w:pPr>
              <w:spacing w:before="120"/>
              <w:rPr>
                <w:rFonts w:cs="Arial"/>
                <w:color w:val="000000"/>
                <w:sz w:val="20"/>
                <w:szCs w:val="20"/>
              </w:rPr>
            </w:pPr>
            <w:r>
              <w:rPr>
                <w:rFonts w:cs="Arial"/>
                <w:color w:val="000000"/>
                <w:sz w:val="20"/>
                <w:szCs w:val="20"/>
              </w:rPr>
              <w:t>Foul</w:t>
            </w:r>
          </w:p>
        </w:tc>
      </w:tr>
      <w:tr w:rsidR="007D1218" w:rsidRPr="001C2E7A" w14:paraId="43EDEDCF" w14:textId="77777777" w:rsidTr="008B45DA">
        <w:tc>
          <w:tcPr>
            <w:tcW w:w="1712" w:type="dxa"/>
            <w:vMerge/>
            <w:vAlign w:val="center"/>
          </w:tcPr>
          <w:p w14:paraId="4CFCC335" w14:textId="77777777" w:rsidR="007D1218" w:rsidRPr="001C2E7A" w:rsidRDefault="007D1218" w:rsidP="008B45DA">
            <w:pPr>
              <w:spacing w:before="120"/>
              <w:rPr>
                <w:rFonts w:cs="Arial"/>
                <w:color w:val="000000"/>
                <w:sz w:val="20"/>
                <w:szCs w:val="20"/>
              </w:rPr>
            </w:pPr>
          </w:p>
        </w:tc>
        <w:tc>
          <w:tcPr>
            <w:tcW w:w="2526" w:type="dxa"/>
            <w:vMerge/>
          </w:tcPr>
          <w:p w14:paraId="17D99C8D" w14:textId="77777777" w:rsidR="007D1218" w:rsidRPr="001C2E7A" w:rsidRDefault="007D1218" w:rsidP="008B45DA">
            <w:pPr>
              <w:spacing w:before="120"/>
              <w:jc w:val="center"/>
              <w:rPr>
                <w:rFonts w:cs="Arial"/>
                <w:color w:val="000000"/>
                <w:sz w:val="20"/>
                <w:szCs w:val="20"/>
              </w:rPr>
            </w:pPr>
          </w:p>
        </w:tc>
        <w:tc>
          <w:tcPr>
            <w:tcW w:w="2895" w:type="dxa"/>
          </w:tcPr>
          <w:p w14:paraId="12578DF7" w14:textId="77777777" w:rsidR="007D1218" w:rsidRPr="001C2E7A" w:rsidRDefault="007D1218" w:rsidP="008B45DA">
            <w:pPr>
              <w:spacing w:before="120"/>
              <w:rPr>
                <w:rFonts w:cs="Arial"/>
                <w:color w:val="000000"/>
                <w:sz w:val="20"/>
                <w:szCs w:val="20"/>
              </w:rPr>
            </w:pPr>
            <w:r>
              <w:rPr>
                <w:rFonts w:cs="Arial"/>
                <w:color w:val="000000"/>
                <w:sz w:val="20"/>
                <w:szCs w:val="20"/>
              </w:rPr>
              <w:t>Surface Water Drainage</w:t>
            </w:r>
          </w:p>
        </w:tc>
      </w:tr>
      <w:tr w:rsidR="007D1218" w:rsidRPr="001C2E7A" w14:paraId="163FD12A" w14:textId="77777777" w:rsidTr="008B45DA">
        <w:tc>
          <w:tcPr>
            <w:tcW w:w="1712" w:type="dxa"/>
            <w:vMerge/>
          </w:tcPr>
          <w:p w14:paraId="19C8F711" w14:textId="77777777" w:rsidR="007D1218" w:rsidRPr="001C2E7A" w:rsidRDefault="007D1218" w:rsidP="008B45DA">
            <w:pPr>
              <w:spacing w:before="120"/>
              <w:rPr>
                <w:rFonts w:cs="Arial"/>
                <w:color w:val="000000"/>
                <w:sz w:val="20"/>
                <w:szCs w:val="20"/>
              </w:rPr>
            </w:pPr>
          </w:p>
        </w:tc>
        <w:tc>
          <w:tcPr>
            <w:tcW w:w="2526" w:type="dxa"/>
            <w:vMerge/>
          </w:tcPr>
          <w:p w14:paraId="4DBB0AFC" w14:textId="77777777" w:rsidR="007D1218" w:rsidRPr="001C2E7A" w:rsidRDefault="007D1218" w:rsidP="008B45DA">
            <w:pPr>
              <w:spacing w:before="120"/>
              <w:jc w:val="center"/>
              <w:rPr>
                <w:rFonts w:cs="Arial"/>
                <w:color w:val="000000"/>
                <w:sz w:val="20"/>
                <w:szCs w:val="20"/>
              </w:rPr>
            </w:pPr>
          </w:p>
        </w:tc>
        <w:tc>
          <w:tcPr>
            <w:tcW w:w="2895" w:type="dxa"/>
          </w:tcPr>
          <w:p w14:paraId="1BA14E26" w14:textId="77777777" w:rsidR="007D1218" w:rsidRPr="001C2E7A" w:rsidRDefault="007D1218" w:rsidP="008B45DA">
            <w:pPr>
              <w:spacing w:before="120"/>
              <w:rPr>
                <w:rFonts w:cs="Arial"/>
                <w:color w:val="000000"/>
                <w:sz w:val="20"/>
                <w:szCs w:val="20"/>
              </w:rPr>
            </w:pPr>
            <w:r>
              <w:rPr>
                <w:rFonts w:cs="Arial"/>
                <w:color w:val="000000"/>
                <w:sz w:val="20"/>
                <w:szCs w:val="20"/>
              </w:rPr>
              <w:t>Highway Drainage</w:t>
            </w:r>
          </w:p>
        </w:tc>
      </w:tr>
      <w:tr w:rsidR="007D1218" w:rsidRPr="001C2E7A" w14:paraId="4B2BD43A" w14:textId="77777777" w:rsidTr="008B45DA">
        <w:tc>
          <w:tcPr>
            <w:tcW w:w="1712" w:type="dxa"/>
            <w:vMerge/>
          </w:tcPr>
          <w:p w14:paraId="2947E511" w14:textId="77777777" w:rsidR="007D1218" w:rsidRPr="001C2E7A" w:rsidRDefault="007D1218" w:rsidP="008B45DA">
            <w:pPr>
              <w:spacing w:before="120"/>
              <w:rPr>
                <w:rFonts w:cs="Arial"/>
                <w:color w:val="000000"/>
                <w:sz w:val="20"/>
                <w:szCs w:val="20"/>
              </w:rPr>
            </w:pPr>
          </w:p>
        </w:tc>
        <w:tc>
          <w:tcPr>
            <w:tcW w:w="2526" w:type="dxa"/>
            <w:vMerge w:val="restart"/>
            <w:vAlign w:val="center"/>
          </w:tcPr>
          <w:p w14:paraId="462B887B" w14:textId="77777777" w:rsidR="007D1218" w:rsidRPr="001C2E7A" w:rsidRDefault="007D1218" w:rsidP="008B45DA">
            <w:pPr>
              <w:spacing w:before="120"/>
              <w:jc w:val="center"/>
              <w:rPr>
                <w:rFonts w:cs="Arial"/>
                <w:color w:val="000000"/>
                <w:sz w:val="20"/>
                <w:szCs w:val="20"/>
              </w:rPr>
            </w:pPr>
            <w:r>
              <w:rPr>
                <w:rFonts w:cs="Arial"/>
                <w:color w:val="000000"/>
                <w:sz w:val="20"/>
                <w:szCs w:val="20"/>
              </w:rPr>
              <w:t>Sewage Treatment</w:t>
            </w:r>
          </w:p>
        </w:tc>
        <w:tc>
          <w:tcPr>
            <w:tcW w:w="2895" w:type="dxa"/>
          </w:tcPr>
          <w:p w14:paraId="0F1F9F38" w14:textId="77777777" w:rsidR="007D1218" w:rsidRPr="001C2E7A" w:rsidRDefault="007D1218" w:rsidP="008B45DA">
            <w:pPr>
              <w:spacing w:before="120"/>
              <w:rPr>
                <w:rFonts w:cs="Arial"/>
                <w:color w:val="000000"/>
                <w:sz w:val="20"/>
                <w:szCs w:val="20"/>
              </w:rPr>
            </w:pPr>
            <w:r>
              <w:rPr>
                <w:rFonts w:cs="Arial"/>
                <w:color w:val="000000"/>
                <w:sz w:val="20"/>
                <w:szCs w:val="20"/>
              </w:rPr>
              <w:t>Sewage Treatment and Disposal</w:t>
            </w:r>
          </w:p>
        </w:tc>
      </w:tr>
      <w:tr w:rsidR="007D1218" w:rsidRPr="001C2E7A" w14:paraId="5025498B" w14:textId="77777777" w:rsidTr="008B45DA">
        <w:tc>
          <w:tcPr>
            <w:tcW w:w="1712" w:type="dxa"/>
            <w:vMerge/>
          </w:tcPr>
          <w:p w14:paraId="6B798757" w14:textId="77777777" w:rsidR="007D1218" w:rsidRPr="001C2E7A" w:rsidRDefault="007D1218" w:rsidP="008B45DA">
            <w:pPr>
              <w:spacing w:before="120"/>
              <w:rPr>
                <w:rFonts w:cs="Arial"/>
                <w:color w:val="000000"/>
                <w:sz w:val="20"/>
                <w:szCs w:val="20"/>
              </w:rPr>
            </w:pPr>
          </w:p>
        </w:tc>
        <w:tc>
          <w:tcPr>
            <w:tcW w:w="2526" w:type="dxa"/>
            <w:vMerge/>
          </w:tcPr>
          <w:p w14:paraId="3049FF61" w14:textId="77777777" w:rsidR="007D1218" w:rsidRPr="001C2E7A" w:rsidRDefault="007D1218" w:rsidP="008B45DA">
            <w:pPr>
              <w:spacing w:before="120"/>
              <w:jc w:val="center"/>
              <w:rPr>
                <w:rFonts w:cs="Arial"/>
                <w:color w:val="000000"/>
                <w:sz w:val="20"/>
                <w:szCs w:val="20"/>
              </w:rPr>
            </w:pPr>
          </w:p>
        </w:tc>
        <w:tc>
          <w:tcPr>
            <w:tcW w:w="2895" w:type="dxa"/>
          </w:tcPr>
          <w:p w14:paraId="21D6FFEF" w14:textId="77777777" w:rsidR="007D1218" w:rsidRPr="001C2E7A" w:rsidRDefault="007D1218" w:rsidP="008B45DA">
            <w:pPr>
              <w:spacing w:before="120"/>
              <w:rPr>
                <w:rFonts w:cs="Arial"/>
                <w:color w:val="000000"/>
                <w:sz w:val="20"/>
                <w:szCs w:val="20"/>
              </w:rPr>
            </w:pPr>
            <w:r>
              <w:rPr>
                <w:rFonts w:cs="Arial"/>
                <w:color w:val="000000"/>
                <w:sz w:val="20"/>
                <w:szCs w:val="20"/>
              </w:rPr>
              <w:t>Imported Sludge Liquor Treatment</w:t>
            </w:r>
          </w:p>
        </w:tc>
      </w:tr>
      <w:tr w:rsidR="007D1218" w:rsidRPr="001C2E7A" w14:paraId="1EB9D732" w14:textId="77777777" w:rsidTr="008B45DA">
        <w:tc>
          <w:tcPr>
            <w:tcW w:w="1712" w:type="dxa"/>
            <w:vMerge w:val="restart"/>
            <w:vAlign w:val="center"/>
          </w:tcPr>
          <w:p w14:paraId="41832B8B" w14:textId="77777777" w:rsidR="007D1218" w:rsidRDefault="007D1218" w:rsidP="008B45DA">
            <w:pPr>
              <w:spacing w:before="120"/>
              <w:jc w:val="center"/>
              <w:rPr>
                <w:rFonts w:cs="Arial"/>
                <w:color w:val="000000"/>
                <w:sz w:val="20"/>
                <w:szCs w:val="20"/>
              </w:rPr>
            </w:pPr>
            <w:r>
              <w:rPr>
                <w:rFonts w:cs="Arial"/>
                <w:color w:val="000000"/>
                <w:sz w:val="20"/>
                <w:szCs w:val="20"/>
              </w:rPr>
              <w:t xml:space="preserve">Bioresources </w:t>
            </w:r>
          </w:p>
        </w:tc>
        <w:tc>
          <w:tcPr>
            <w:tcW w:w="2526" w:type="dxa"/>
            <w:vMerge w:val="restart"/>
            <w:vAlign w:val="center"/>
          </w:tcPr>
          <w:p w14:paraId="602A495D" w14:textId="77777777" w:rsidR="007D1218" w:rsidRPr="001C2E7A" w:rsidRDefault="007D1218" w:rsidP="008B45DA">
            <w:pPr>
              <w:spacing w:before="120"/>
              <w:jc w:val="center"/>
              <w:rPr>
                <w:rFonts w:cs="Arial"/>
                <w:color w:val="000000"/>
                <w:sz w:val="20"/>
                <w:szCs w:val="20"/>
              </w:rPr>
            </w:pPr>
            <w:r>
              <w:rPr>
                <w:rFonts w:cs="Arial"/>
                <w:color w:val="000000"/>
                <w:sz w:val="20"/>
                <w:szCs w:val="20"/>
              </w:rPr>
              <w:t>Sludge</w:t>
            </w:r>
          </w:p>
        </w:tc>
        <w:tc>
          <w:tcPr>
            <w:tcW w:w="2895" w:type="dxa"/>
          </w:tcPr>
          <w:p w14:paraId="514D54C4" w14:textId="77777777" w:rsidR="007D1218" w:rsidRDefault="007D1218" w:rsidP="008B45DA">
            <w:pPr>
              <w:spacing w:before="120"/>
              <w:rPr>
                <w:rFonts w:cs="Arial"/>
                <w:color w:val="000000"/>
                <w:sz w:val="20"/>
                <w:szCs w:val="20"/>
              </w:rPr>
            </w:pPr>
            <w:r>
              <w:rPr>
                <w:rFonts w:cs="Arial"/>
                <w:color w:val="000000"/>
                <w:sz w:val="20"/>
                <w:szCs w:val="20"/>
              </w:rPr>
              <w:t>Sludge Transport</w:t>
            </w:r>
          </w:p>
        </w:tc>
      </w:tr>
      <w:tr w:rsidR="007D1218" w:rsidRPr="001C2E7A" w14:paraId="292CAD76" w14:textId="77777777" w:rsidTr="008B45DA">
        <w:tc>
          <w:tcPr>
            <w:tcW w:w="1712" w:type="dxa"/>
            <w:vMerge/>
          </w:tcPr>
          <w:p w14:paraId="5A815388" w14:textId="77777777" w:rsidR="007D1218" w:rsidRDefault="007D1218" w:rsidP="008B45DA">
            <w:pPr>
              <w:spacing w:before="120"/>
              <w:rPr>
                <w:rFonts w:cs="Arial"/>
                <w:color w:val="000000"/>
                <w:sz w:val="20"/>
                <w:szCs w:val="20"/>
              </w:rPr>
            </w:pPr>
          </w:p>
        </w:tc>
        <w:tc>
          <w:tcPr>
            <w:tcW w:w="2526" w:type="dxa"/>
            <w:vMerge/>
          </w:tcPr>
          <w:p w14:paraId="2E6E755A" w14:textId="77777777" w:rsidR="007D1218" w:rsidRPr="001C2E7A" w:rsidRDefault="007D1218" w:rsidP="008B45DA">
            <w:pPr>
              <w:spacing w:before="120"/>
              <w:jc w:val="center"/>
              <w:rPr>
                <w:rFonts w:cs="Arial"/>
                <w:color w:val="000000"/>
                <w:sz w:val="20"/>
                <w:szCs w:val="20"/>
              </w:rPr>
            </w:pPr>
          </w:p>
        </w:tc>
        <w:tc>
          <w:tcPr>
            <w:tcW w:w="2895" w:type="dxa"/>
          </w:tcPr>
          <w:p w14:paraId="5E98DB94" w14:textId="77777777" w:rsidR="007D1218" w:rsidRDefault="007D1218" w:rsidP="008B45DA">
            <w:pPr>
              <w:spacing w:before="120"/>
              <w:rPr>
                <w:rFonts w:cs="Arial"/>
                <w:color w:val="000000"/>
                <w:sz w:val="20"/>
                <w:szCs w:val="20"/>
              </w:rPr>
            </w:pPr>
            <w:r>
              <w:rPr>
                <w:rFonts w:cs="Arial"/>
                <w:color w:val="000000"/>
                <w:sz w:val="20"/>
                <w:szCs w:val="20"/>
              </w:rPr>
              <w:t>Sludge Treatment</w:t>
            </w:r>
          </w:p>
        </w:tc>
      </w:tr>
      <w:tr w:rsidR="007D1218" w:rsidRPr="001C2E7A" w14:paraId="3CD437C9" w14:textId="77777777" w:rsidTr="008B45DA">
        <w:tc>
          <w:tcPr>
            <w:tcW w:w="1712" w:type="dxa"/>
            <w:vMerge/>
          </w:tcPr>
          <w:p w14:paraId="3207428A" w14:textId="77777777" w:rsidR="007D1218" w:rsidRDefault="007D1218" w:rsidP="008B45DA">
            <w:pPr>
              <w:spacing w:before="120"/>
              <w:rPr>
                <w:rFonts w:cs="Arial"/>
                <w:color w:val="000000"/>
                <w:sz w:val="20"/>
                <w:szCs w:val="20"/>
              </w:rPr>
            </w:pPr>
          </w:p>
        </w:tc>
        <w:tc>
          <w:tcPr>
            <w:tcW w:w="2526" w:type="dxa"/>
            <w:vMerge/>
          </w:tcPr>
          <w:p w14:paraId="5B906439" w14:textId="77777777" w:rsidR="007D1218" w:rsidRPr="001C2E7A" w:rsidRDefault="007D1218" w:rsidP="008B45DA">
            <w:pPr>
              <w:spacing w:before="120"/>
              <w:jc w:val="center"/>
              <w:rPr>
                <w:rFonts w:cs="Arial"/>
                <w:color w:val="000000"/>
                <w:sz w:val="20"/>
                <w:szCs w:val="20"/>
              </w:rPr>
            </w:pPr>
          </w:p>
        </w:tc>
        <w:tc>
          <w:tcPr>
            <w:tcW w:w="2895" w:type="dxa"/>
          </w:tcPr>
          <w:p w14:paraId="4D61D279" w14:textId="77777777" w:rsidR="007D1218" w:rsidRDefault="007D1218" w:rsidP="008B45DA">
            <w:pPr>
              <w:spacing w:before="120"/>
              <w:rPr>
                <w:rFonts w:cs="Arial"/>
                <w:color w:val="000000"/>
                <w:sz w:val="20"/>
                <w:szCs w:val="20"/>
              </w:rPr>
            </w:pPr>
            <w:r>
              <w:rPr>
                <w:rFonts w:cs="Arial"/>
                <w:color w:val="000000"/>
                <w:sz w:val="20"/>
                <w:szCs w:val="20"/>
              </w:rPr>
              <w:t>Sludge Disposal</w:t>
            </w:r>
          </w:p>
        </w:tc>
      </w:tr>
    </w:tbl>
    <w:p w14:paraId="346CECF7" w14:textId="77777777" w:rsidR="007D1218" w:rsidRPr="001C2E7A" w:rsidRDefault="007D1218" w:rsidP="007D1218">
      <w:pPr>
        <w:rPr>
          <w:rFonts w:cs="Arial"/>
          <w:color w:val="000000"/>
        </w:rPr>
      </w:pPr>
    </w:p>
    <w:p w14:paraId="51CB9C7E" w14:textId="77777777" w:rsidR="007D1218" w:rsidRDefault="007D1218" w:rsidP="007D1218">
      <w:pPr>
        <w:rPr>
          <w:rFonts w:ascii="Calibre Light" w:hAnsi="Calibre Light" w:cs="Calibre Light"/>
          <w:color w:val="000000"/>
          <w:sz w:val="18"/>
          <w:szCs w:val="18"/>
        </w:rPr>
      </w:pPr>
      <w:r>
        <w:rPr>
          <w:rFonts w:ascii="Calibre Light" w:hAnsi="Calibre Light" w:cs="Calibre Light"/>
          <w:color w:val="000000"/>
          <w:sz w:val="18"/>
          <w:szCs w:val="18"/>
        </w:rPr>
        <w:t xml:space="preserve">Note: </w:t>
      </w:r>
      <w:proofErr w:type="gramStart"/>
      <w:r>
        <w:rPr>
          <w:rFonts w:ascii="Calibre Light" w:hAnsi="Calibre Light" w:cs="Calibre Light"/>
          <w:color w:val="000000"/>
          <w:sz w:val="18"/>
          <w:szCs w:val="18"/>
        </w:rPr>
        <w:t>South West</w:t>
      </w:r>
      <w:proofErr w:type="gramEnd"/>
      <w:r>
        <w:rPr>
          <w:rFonts w:ascii="Calibre Light" w:hAnsi="Calibre Light" w:cs="Calibre Light"/>
          <w:color w:val="000000"/>
          <w:sz w:val="18"/>
          <w:szCs w:val="18"/>
        </w:rPr>
        <w:t xml:space="preserve"> Water exited the Non-household retail market on 1 April 2017. Following this date there are no associated retail costs in the non-household price control. These have been allocated to the Wholesale sector.</w:t>
      </w:r>
    </w:p>
    <w:p w14:paraId="0B3F62AC" w14:textId="77777777" w:rsidR="007D1218" w:rsidRPr="0091297D" w:rsidRDefault="007D1218" w:rsidP="007D1218">
      <w:pPr>
        <w:rPr>
          <w:rFonts w:cs="Arial"/>
          <w:color w:val="000000"/>
          <w:highlight w:val="yellow"/>
        </w:rPr>
      </w:pPr>
    </w:p>
    <w:p w14:paraId="19B90C3F" w14:textId="77777777" w:rsidR="007D1218" w:rsidRPr="008E41E6" w:rsidRDefault="007D1218" w:rsidP="007D1218">
      <w:pPr>
        <w:rPr>
          <w:b/>
          <w:i/>
        </w:rPr>
      </w:pPr>
      <w:r>
        <w:rPr>
          <w:b/>
          <w:i/>
        </w:rPr>
        <w:t>Allocation to Price Controls and Business Units</w:t>
      </w:r>
    </w:p>
    <w:p w14:paraId="6B17835B" w14:textId="77777777" w:rsidR="007D1218" w:rsidRDefault="007D1218" w:rsidP="007D1218">
      <w:pPr>
        <w:pStyle w:val="ListParagraph"/>
        <w:ind w:left="567"/>
        <w:rPr>
          <w:rFonts w:asciiTheme="minorHAnsi" w:hAnsiTheme="minorHAnsi" w:cs="Arial"/>
          <w:color w:val="000000"/>
          <w:sz w:val="22"/>
          <w:szCs w:val="22"/>
        </w:rPr>
      </w:pPr>
    </w:p>
    <w:p w14:paraId="00173C4A" w14:textId="77777777" w:rsidR="007D1218" w:rsidRPr="00731F4B" w:rsidRDefault="007D1218" w:rsidP="009C3ABF">
      <w:pPr>
        <w:pStyle w:val="ListParagraph"/>
        <w:numPr>
          <w:ilvl w:val="1"/>
          <w:numId w:val="5"/>
        </w:numPr>
        <w:ind w:left="567" w:hanging="567"/>
        <w:rPr>
          <w:rFonts w:asciiTheme="minorHAnsi" w:hAnsiTheme="minorHAnsi" w:cs="Arial"/>
          <w:color w:val="000000"/>
          <w:sz w:val="22"/>
          <w:szCs w:val="22"/>
        </w:rPr>
      </w:pPr>
      <w:r w:rsidRPr="00731F4B">
        <w:rPr>
          <w:rFonts w:asciiTheme="minorHAnsi" w:hAnsiTheme="minorHAnsi" w:cs="Arial"/>
          <w:color w:val="000000"/>
          <w:sz w:val="22"/>
          <w:szCs w:val="22"/>
        </w:rPr>
        <w:t xml:space="preserve">The RAG definitions for wholesale activities were reviewed and used to identify and apply direct cost allocations to specific business units for costs that are separately identifiable from the Ellipse general ledger coding system. For </w:t>
      </w:r>
      <w:proofErr w:type="gramStart"/>
      <w:r w:rsidRPr="00731F4B">
        <w:rPr>
          <w:rFonts w:asciiTheme="minorHAnsi" w:hAnsiTheme="minorHAnsi" w:cs="Arial"/>
          <w:color w:val="000000"/>
          <w:sz w:val="22"/>
          <w:szCs w:val="22"/>
        </w:rPr>
        <w:t>example</w:t>
      </w:r>
      <w:proofErr w:type="gramEnd"/>
      <w:r w:rsidRPr="00731F4B">
        <w:rPr>
          <w:rFonts w:asciiTheme="minorHAnsi" w:hAnsiTheme="minorHAnsi" w:cs="Arial"/>
          <w:color w:val="000000"/>
          <w:sz w:val="22"/>
          <w:szCs w:val="22"/>
        </w:rPr>
        <w:t xml:space="preserve"> the cost of water or sewerage treatment works. </w:t>
      </w:r>
    </w:p>
    <w:p w14:paraId="16708AAC" w14:textId="77777777" w:rsidR="007D1218" w:rsidRPr="0091297D" w:rsidRDefault="007D1218" w:rsidP="007D1218">
      <w:pPr>
        <w:pStyle w:val="ListParagraph"/>
        <w:rPr>
          <w:rFonts w:asciiTheme="minorHAnsi" w:hAnsiTheme="minorHAnsi" w:cs="Arial"/>
          <w:color w:val="000000"/>
          <w:sz w:val="22"/>
          <w:szCs w:val="22"/>
          <w:highlight w:val="yellow"/>
        </w:rPr>
      </w:pPr>
    </w:p>
    <w:p w14:paraId="7684AD44" w14:textId="77777777" w:rsidR="007D1218" w:rsidRPr="00731F4B" w:rsidRDefault="007D1218" w:rsidP="009C3ABF">
      <w:pPr>
        <w:pStyle w:val="ListParagraph"/>
        <w:numPr>
          <w:ilvl w:val="1"/>
          <w:numId w:val="5"/>
        </w:numPr>
        <w:ind w:left="567" w:hanging="567"/>
        <w:rPr>
          <w:rFonts w:asciiTheme="minorHAnsi" w:hAnsiTheme="minorHAnsi" w:cs="Arial"/>
          <w:color w:val="000000"/>
          <w:sz w:val="22"/>
          <w:szCs w:val="22"/>
        </w:rPr>
      </w:pPr>
      <w:r w:rsidRPr="00731F4B">
        <w:rPr>
          <w:rFonts w:asciiTheme="minorHAnsi" w:hAnsiTheme="minorHAnsi" w:cs="Arial"/>
          <w:color w:val="000000"/>
          <w:sz w:val="22"/>
          <w:szCs w:val="22"/>
        </w:rPr>
        <w:t xml:space="preserve">In other cases, whilst costs are readily identified from the Ellipse general ledger, they are not directly attributable to one </w:t>
      </w:r>
      <w:proofErr w:type="gramStart"/>
      <w:r w:rsidRPr="00731F4B">
        <w:rPr>
          <w:rFonts w:asciiTheme="minorHAnsi" w:hAnsiTheme="minorHAnsi" w:cs="Arial"/>
          <w:color w:val="000000"/>
          <w:sz w:val="22"/>
          <w:szCs w:val="22"/>
        </w:rPr>
        <w:t>particular business</w:t>
      </w:r>
      <w:proofErr w:type="gramEnd"/>
      <w:r w:rsidRPr="00731F4B">
        <w:rPr>
          <w:rFonts w:asciiTheme="minorHAnsi" w:hAnsiTheme="minorHAnsi" w:cs="Arial"/>
          <w:color w:val="000000"/>
          <w:sz w:val="22"/>
          <w:szCs w:val="22"/>
        </w:rPr>
        <w:t xml:space="preserve"> unit.  Where this is the case, the most </w:t>
      </w:r>
      <w:r w:rsidRPr="00731F4B">
        <w:rPr>
          <w:rFonts w:asciiTheme="minorHAnsi" w:hAnsiTheme="minorHAnsi" w:cs="Arial"/>
          <w:color w:val="000000"/>
          <w:sz w:val="22"/>
          <w:szCs w:val="22"/>
        </w:rPr>
        <w:lastRenderedPageBreak/>
        <w:t xml:space="preserve">appropriate form of apportionment or allocation is identified, by the appropriate Management team, and applied to the cost centre.  </w:t>
      </w:r>
    </w:p>
    <w:p w14:paraId="5AF80DD2" w14:textId="77777777" w:rsidR="007D1218" w:rsidRPr="0091297D" w:rsidRDefault="007D1218" w:rsidP="007D1218">
      <w:pPr>
        <w:pStyle w:val="ListParagraph"/>
        <w:ind w:left="432"/>
        <w:rPr>
          <w:rFonts w:asciiTheme="minorHAnsi" w:hAnsiTheme="minorHAnsi" w:cs="Arial"/>
          <w:color w:val="000000"/>
          <w:sz w:val="22"/>
          <w:szCs w:val="22"/>
          <w:highlight w:val="yellow"/>
        </w:rPr>
      </w:pPr>
    </w:p>
    <w:p w14:paraId="79370C53" w14:textId="77777777" w:rsidR="007D1218" w:rsidRPr="00731F4B" w:rsidRDefault="007D1218" w:rsidP="009C3ABF">
      <w:pPr>
        <w:pStyle w:val="ListParagraph"/>
        <w:numPr>
          <w:ilvl w:val="1"/>
          <w:numId w:val="5"/>
        </w:numPr>
        <w:ind w:left="567" w:hanging="567"/>
        <w:rPr>
          <w:rFonts w:asciiTheme="minorHAnsi" w:hAnsiTheme="minorHAnsi" w:cs="Arial"/>
          <w:color w:val="000000"/>
          <w:sz w:val="22"/>
          <w:szCs w:val="22"/>
        </w:rPr>
      </w:pPr>
      <w:r w:rsidRPr="00731F4B">
        <w:rPr>
          <w:rFonts w:asciiTheme="minorHAnsi" w:hAnsiTheme="minorHAnsi" w:cs="Arial"/>
          <w:color w:val="000000"/>
          <w:sz w:val="22"/>
          <w:szCs w:val="22"/>
        </w:rPr>
        <w:t>The table below lists the operating expenditure lines included within total wholesale operating expenditure and outlines the sources of the cost contained within each line and where apportionments have been used:</w:t>
      </w:r>
    </w:p>
    <w:p w14:paraId="4FE0C097" w14:textId="77777777" w:rsidR="007D1218" w:rsidRPr="0091297D" w:rsidRDefault="007D1218" w:rsidP="007D1218">
      <w:pPr>
        <w:rPr>
          <w:rFonts w:cs="Arial"/>
          <w:highlight w:val="yellow"/>
        </w:rPr>
      </w:pPr>
    </w:p>
    <w:tbl>
      <w:tblPr>
        <w:tblW w:w="8222"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6467"/>
      </w:tblGrid>
      <w:tr w:rsidR="007D1218" w:rsidRPr="0091297D" w14:paraId="0EF8F57A" w14:textId="77777777" w:rsidTr="008B45DA">
        <w:trPr>
          <w:tblHeader/>
        </w:trPr>
        <w:tc>
          <w:tcPr>
            <w:tcW w:w="1755" w:type="dxa"/>
            <w:shd w:val="clear" w:color="auto" w:fill="D5DCE4" w:themeFill="text2" w:themeFillTint="33"/>
          </w:tcPr>
          <w:p w14:paraId="7C49452E" w14:textId="77777777" w:rsidR="007D1218" w:rsidRPr="000C6B54" w:rsidRDefault="007D1218" w:rsidP="008B45DA">
            <w:pPr>
              <w:spacing w:before="120"/>
              <w:rPr>
                <w:rFonts w:cs="Arial"/>
                <w:b/>
                <w:sz w:val="20"/>
                <w:szCs w:val="20"/>
              </w:rPr>
            </w:pPr>
            <w:r w:rsidRPr="000C6B54">
              <w:rPr>
                <w:rFonts w:cs="Arial"/>
                <w:b/>
                <w:sz w:val="20"/>
                <w:szCs w:val="20"/>
              </w:rPr>
              <w:t>Operating Expenditure heading</w:t>
            </w:r>
          </w:p>
        </w:tc>
        <w:tc>
          <w:tcPr>
            <w:tcW w:w="6467" w:type="dxa"/>
            <w:shd w:val="clear" w:color="auto" w:fill="D5DCE4" w:themeFill="text2" w:themeFillTint="33"/>
          </w:tcPr>
          <w:p w14:paraId="21EFFE3C" w14:textId="77777777" w:rsidR="007D1218" w:rsidRPr="000C6B54" w:rsidRDefault="007D1218" w:rsidP="008B45DA">
            <w:pPr>
              <w:spacing w:before="120"/>
              <w:rPr>
                <w:rFonts w:cs="Arial"/>
                <w:b/>
                <w:sz w:val="20"/>
                <w:szCs w:val="20"/>
              </w:rPr>
            </w:pPr>
            <w:r w:rsidRPr="000C6B54">
              <w:rPr>
                <w:rFonts w:cs="Arial"/>
                <w:b/>
                <w:sz w:val="20"/>
                <w:szCs w:val="20"/>
              </w:rPr>
              <w:t>Costs included and method of allocation</w:t>
            </w:r>
          </w:p>
        </w:tc>
      </w:tr>
      <w:tr w:rsidR="007D1218" w:rsidRPr="0091297D" w14:paraId="0BB46CF3" w14:textId="77777777" w:rsidTr="008B45DA">
        <w:tc>
          <w:tcPr>
            <w:tcW w:w="1755" w:type="dxa"/>
          </w:tcPr>
          <w:p w14:paraId="7FEE0D34" w14:textId="77777777" w:rsidR="007D1218" w:rsidRPr="000C6B54" w:rsidRDefault="007D1218" w:rsidP="008B45DA">
            <w:pPr>
              <w:spacing w:before="120"/>
              <w:rPr>
                <w:rFonts w:cs="Arial"/>
                <w:sz w:val="20"/>
                <w:szCs w:val="20"/>
              </w:rPr>
            </w:pPr>
            <w:r w:rsidRPr="000C6B54">
              <w:rPr>
                <w:rFonts w:cs="Arial"/>
                <w:sz w:val="20"/>
                <w:szCs w:val="20"/>
              </w:rPr>
              <w:t>Power</w:t>
            </w:r>
          </w:p>
        </w:tc>
        <w:tc>
          <w:tcPr>
            <w:tcW w:w="6467" w:type="dxa"/>
          </w:tcPr>
          <w:p w14:paraId="6A7D7375" w14:textId="77777777" w:rsidR="007D1218" w:rsidRPr="000C6B54" w:rsidRDefault="007D1218" w:rsidP="008B45DA">
            <w:pPr>
              <w:spacing w:before="120"/>
              <w:rPr>
                <w:rFonts w:cs="Arial"/>
                <w:sz w:val="20"/>
                <w:szCs w:val="20"/>
              </w:rPr>
            </w:pPr>
            <w:r w:rsidRPr="000C6B54">
              <w:rPr>
                <w:rFonts w:cs="Arial"/>
                <w:sz w:val="20"/>
                <w:szCs w:val="20"/>
              </w:rPr>
              <w:t xml:space="preserve">All energy </w:t>
            </w:r>
            <w:proofErr w:type="gramStart"/>
            <w:r w:rsidRPr="000C6B54">
              <w:rPr>
                <w:rFonts w:cs="Arial"/>
                <w:sz w:val="20"/>
                <w:szCs w:val="20"/>
              </w:rPr>
              <w:t>costs</w:t>
            </w:r>
            <w:proofErr w:type="gramEnd"/>
            <w:r w:rsidRPr="000C6B54">
              <w:rPr>
                <w:rFonts w:cs="Arial"/>
                <w:sz w:val="20"/>
                <w:szCs w:val="20"/>
              </w:rPr>
              <w:t xml:space="preserve"> </w:t>
            </w:r>
          </w:p>
          <w:p w14:paraId="69C33B2C" w14:textId="77777777" w:rsidR="007D1218" w:rsidRPr="000C6B54" w:rsidRDefault="007D1218" w:rsidP="008B45DA">
            <w:pPr>
              <w:spacing w:before="120"/>
              <w:rPr>
                <w:rFonts w:cs="Arial"/>
                <w:sz w:val="20"/>
                <w:szCs w:val="20"/>
              </w:rPr>
            </w:pPr>
            <w:r w:rsidRPr="000C6B54">
              <w:rPr>
                <w:rFonts w:cs="Arial"/>
                <w:sz w:val="20"/>
                <w:szCs w:val="20"/>
              </w:rPr>
              <w:t>Power costs are allocated to individual sites which are in turn allocated to specific business units.</w:t>
            </w:r>
          </w:p>
          <w:p w14:paraId="01C207DD" w14:textId="77777777" w:rsidR="007D1218" w:rsidRPr="000C6B54" w:rsidRDefault="007D1218" w:rsidP="008B45DA">
            <w:pPr>
              <w:spacing w:before="120"/>
              <w:rPr>
                <w:rFonts w:cs="Arial"/>
                <w:sz w:val="20"/>
                <w:szCs w:val="20"/>
              </w:rPr>
            </w:pPr>
            <w:r w:rsidRPr="000C6B54">
              <w:rPr>
                <w:rFonts w:cs="Arial"/>
                <w:sz w:val="20"/>
                <w:szCs w:val="20"/>
              </w:rPr>
              <w:t>At combined sites an allocation of the power costs is determined based on an assessment of the power usage of individual items of equipment.</w:t>
            </w:r>
          </w:p>
        </w:tc>
      </w:tr>
      <w:tr w:rsidR="007D1218" w:rsidRPr="0091297D" w14:paraId="7F297ED8" w14:textId="77777777" w:rsidTr="008B45DA">
        <w:tc>
          <w:tcPr>
            <w:tcW w:w="1755" w:type="dxa"/>
            <w:tcBorders>
              <w:bottom w:val="single" w:sz="4" w:space="0" w:color="auto"/>
            </w:tcBorders>
          </w:tcPr>
          <w:p w14:paraId="23C45A95" w14:textId="77777777" w:rsidR="007D1218" w:rsidRPr="000C6B54" w:rsidRDefault="007D1218" w:rsidP="008B45DA">
            <w:pPr>
              <w:spacing w:before="120"/>
              <w:rPr>
                <w:rFonts w:cs="Arial"/>
                <w:sz w:val="20"/>
                <w:szCs w:val="20"/>
              </w:rPr>
            </w:pPr>
            <w:r w:rsidRPr="000C6B54">
              <w:rPr>
                <w:rFonts w:cs="Arial"/>
                <w:sz w:val="20"/>
                <w:szCs w:val="20"/>
              </w:rPr>
              <w:t>Income treated as a negative expense</w:t>
            </w:r>
          </w:p>
        </w:tc>
        <w:tc>
          <w:tcPr>
            <w:tcW w:w="6467" w:type="dxa"/>
            <w:tcBorders>
              <w:bottom w:val="single" w:sz="4" w:space="0" w:color="auto"/>
            </w:tcBorders>
          </w:tcPr>
          <w:p w14:paraId="3ED3C85B" w14:textId="77777777" w:rsidR="007D1218" w:rsidRPr="000C6B54" w:rsidRDefault="007D1218" w:rsidP="008B45DA">
            <w:pPr>
              <w:spacing w:before="120"/>
              <w:rPr>
                <w:rFonts w:cs="Arial"/>
                <w:sz w:val="20"/>
                <w:szCs w:val="20"/>
              </w:rPr>
            </w:pPr>
            <w:r w:rsidRPr="000C6B54">
              <w:rPr>
                <w:rFonts w:cs="Arial"/>
                <w:sz w:val="20"/>
                <w:szCs w:val="20"/>
              </w:rPr>
              <w:t>Income received from energy generation.</w:t>
            </w:r>
          </w:p>
          <w:p w14:paraId="5DBA2B87" w14:textId="77777777" w:rsidR="007D1218" w:rsidRPr="000C6B54" w:rsidRDefault="007D1218" w:rsidP="008B45DA">
            <w:pPr>
              <w:spacing w:before="120"/>
              <w:rPr>
                <w:rFonts w:cs="Arial"/>
                <w:sz w:val="20"/>
                <w:szCs w:val="20"/>
              </w:rPr>
            </w:pPr>
            <w:r w:rsidRPr="000C6B54">
              <w:rPr>
                <w:rFonts w:cs="Arial"/>
                <w:sz w:val="20"/>
                <w:szCs w:val="20"/>
              </w:rPr>
              <w:t>Energy generation income is allocated to sites which are in turn allocated to specific business units.</w:t>
            </w:r>
          </w:p>
          <w:p w14:paraId="4A24C1BE" w14:textId="77777777" w:rsidR="007D1218" w:rsidRPr="000C6B54" w:rsidRDefault="007D1218" w:rsidP="008B45DA">
            <w:pPr>
              <w:spacing w:before="120"/>
              <w:rPr>
                <w:rFonts w:cs="Arial"/>
                <w:sz w:val="20"/>
                <w:szCs w:val="20"/>
              </w:rPr>
            </w:pPr>
            <w:r w:rsidRPr="0077024E">
              <w:rPr>
                <w:rFonts w:cs="Arial"/>
                <w:sz w:val="20"/>
                <w:szCs w:val="20"/>
              </w:rPr>
              <w:t>Income received from solar and wind power generation installed prior to the 2015/16 financial year is classified as non-appointed income and is excluded from the accounting separation tables.</w:t>
            </w:r>
          </w:p>
        </w:tc>
      </w:tr>
      <w:tr w:rsidR="007D1218" w:rsidRPr="0091297D" w14:paraId="49828293" w14:textId="77777777" w:rsidTr="008B45DA">
        <w:tc>
          <w:tcPr>
            <w:tcW w:w="1755" w:type="dxa"/>
            <w:tcBorders>
              <w:top w:val="nil"/>
            </w:tcBorders>
          </w:tcPr>
          <w:p w14:paraId="75F42917" w14:textId="77777777" w:rsidR="007D1218" w:rsidRPr="00DD21C7" w:rsidRDefault="007D1218" w:rsidP="008B45DA">
            <w:pPr>
              <w:spacing w:before="120"/>
              <w:rPr>
                <w:rFonts w:cs="Arial"/>
                <w:sz w:val="20"/>
                <w:szCs w:val="20"/>
              </w:rPr>
            </w:pPr>
            <w:r w:rsidRPr="00DD21C7">
              <w:rPr>
                <w:rFonts w:cs="Arial"/>
                <w:sz w:val="20"/>
                <w:szCs w:val="20"/>
              </w:rPr>
              <w:t>Abstraction charges / discharge consents</w:t>
            </w:r>
          </w:p>
        </w:tc>
        <w:tc>
          <w:tcPr>
            <w:tcW w:w="6467" w:type="dxa"/>
            <w:tcBorders>
              <w:top w:val="nil"/>
            </w:tcBorders>
          </w:tcPr>
          <w:p w14:paraId="32D944AD" w14:textId="77777777" w:rsidR="007D1218" w:rsidRPr="00DD21C7" w:rsidRDefault="007D1218" w:rsidP="008B45DA">
            <w:pPr>
              <w:spacing w:before="120"/>
              <w:rPr>
                <w:rFonts w:cs="Arial"/>
                <w:sz w:val="20"/>
                <w:szCs w:val="20"/>
              </w:rPr>
            </w:pPr>
            <w:r w:rsidRPr="00DD21C7">
              <w:rPr>
                <w:rFonts w:cs="Arial"/>
                <w:sz w:val="20"/>
                <w:szCs w:val="20"/>
              </w:rPr>
              <w:t>Total cost of charges by the Environment Ag</w:t>
            </w:r>
            <w:r>
              <w:rPr>
                <w:rFonts w:cs="Arial"/>
                <w:sz w:val="20"/>
                <w:szCs w:val="20"/>
              </w:rPr>
              <w:t xml:space="preserve">ency or the Canal &amp; River Trust </w:t>
            </w:r>
            <w:r w:rsidRPr="00DD21C7">
              <w:rPr>
                <w:rFonts w:cs="Arial"/>
                <w:sz w:val="20"/>
                <w:szCs w:val="20"/>
              </w:rPr>
              <w:t>for water abstraction and discharge consents.</w:t>
            </w:r>
          </w:p>
          <w:p w14:paraId="542C7B49" w14:textId="77777777" w:rsidR="007D1218" w:rsidRPr="00DD21C7" w:rsidRDefault="007D1218" w:rsidP="008B45DA">
            <w:pPr>
              <w:spacing w:before="120"/>
              <w:rPr>
                <w:rFonts w:cs="Arial"/>
                <w:sz w:val="20"/>
                <w:szCs w:val="20"/>
              </w:rPr>
            </w:pPr>
            <w:r w:rsidRPr="00DD21C7">
              <w:rPr>
                <w:rFonts w:cs="Arial"/>
                <w:sz w:val="20"/>
                <w:szCs w:val="20"/>
              </w:rPr>
              <w:t>Allocation to business unit is made through reference to the individual cost centres charges are posted against.</w:t>
            </w:r>
          </w:p>
        </w:tc>
      </w:tr>
      <w:tr w:rsidR="007D1218" w:rsidRPr="0091297D" w14:paraId="4B74E131" w14:textId="77777777" w:rsidTr="008B45DA">
        <w:tc>
          <w:tcPr>
            <w:tcW w:w="1755" w:type="dxa"/>
          </w:tcPr>
          <w:p w14:paraId="2ED82030" w14:textId="77777777" w:rsidR="007D1218" w:rsidRPr="00DD21C7" w:rsidRDefault="007D1218" w:rsidP="008B45DA">
            <w:pPr>
              <w:spacing w:before="120"/>
              <w:rPr>
                <w:rFonts w:cs="Arial"/>
                <w:sz w:val="20"/>
                <w:szCs w:val="20"/>
              </w:rPr>
            </w:pPr>
            <w:r w:rsidRPr="00DD21C7">
              <w:rPr>
                <w:rFonts w:cs="Arial"/>
                <w:sz w:val="20"/>
                <w:szCs w:val="20"/>
              </w:rPr>
              <w:t>Bulk supply imports</w:t>
            </w:r>
          </w:p>
        </w:tc>
        <w:tc>
          <w:tcPr>
            <w:tcW w:w="6467" w:type="dxa"/>
          </w:tcPr>
          <w:p w14:paraId="3457A2A9" w14:textId="77777777" w:rsidR="007D1218" w:rsidRPr="00DD21C7" w:rsidRDefault="007D1218" w:rsidP="008B45DA">
            <w:pPr>
              <w:spacing w:before="120"/>
              <w:rPr>
                <w:rFonts w:cs="Arial"/>
                <w:sz w:val="20"/>
                <w:szCs w:val="20"/>
              </w:rPr>
            </w:pPr>
            <w:r w:rsidRPr="00DD21C7">
              <w:rPr>
                <w:rFonts w:cs="Arial"/>
                <w:sz w:val="20"/>
                <w:szCs w:val="20"/>
              </w:rPr>
              <w:t>Total payments for bulk imports/exports.</w:t>
            </w:r>
          </w:p>
          <w:p w14:paraId="21080357" w14:textId="77777777" w:rsidR="007D1218" w:rsidRPr="00DD21C7" w:rsidRDefault="007D1218" w:rsidP="008B45DA">
            <w:pPr>
              <w:spacing w:before="120"/>
              <w:rPr>
                <w:rFonts w:cs="Arial"/>
                <w:sz w:val="20"/>
                <w:szCs w:val="20"/>
              </w:rPr>
            </w:pPr>
            <w:r w:rsidRPr="00DD21C7">
              <w:rPr>
                <w:rFonts w:cs="Arial"/>
                <w:sz w:val="20"/>
                <w:szCs w:val="20"/>
              </w:rPr>
              <w:t>South West Water does not rely on bulk imports and sources all water from resources within the South West Water operating area.</w:t>
            </w:r>
          </w:p>
        </w:tc>
      </w:tr>
      <w:tr w:rsidR="007D1218" w:rsidRPr="0091297D" w14:paraId="7D717512" w14:textId="77777777" w:rsidTr="008B45DA">
        <w:tc>
          <w:tcPr>
            <w:tcW w:w="1755" w:type="dxa"/>
          </w:tcPr>
          <w:p w14:paraId="5DF004AB" w14:textId="77777777" w:rsidR="007D1218" w:rsidRPr="00DD21C7" w:rsidRDefault="007D1218" w:rsidP="008B45DA">
            <w:pPr>
              <w:spacing w:before="120"/>
              <w:rPr>
                <w:rFonts w:cs="Arial"/>
                <w:sz w:val="20"/>
                <w:szCs w:val="20"/>
              </w:rPr>
            </w:pPr>
            <w:r>
              <w:rPr>
                <w:rFonts w:cs="Arial"/>
                <w:sz w:val="20"/>
                <w:szCs w:val="20"/>
              </w:rPr>
              <w:t>Renewals expensed in year (Infrastructure)</w:t>
            </w:r>
          </w:p>
        </w:tc>
        <w:tc>
          <w:tcPr>
            <w:tcW w:w="6467" w:type="dxa"/>
          </w:tcPr>
          <w:p w14:paraId="5BEFF53A" w14:textId="77777777" w:rsidR="007D1218" w:rsidRDefault="007D1218" w:rsidP="008B45DA">
            <w:pPr>
              <w:spacing w:before="120"/>
              <w:rPr>
                <w:rFonts w:cs="Arial"/>
                <w:sz w:val="20"/>
                <w:szCs w:val="20"/>
              </w:rPr>
            </w:pPr>
            <w:r>
              <w:rPr>
                <w:rFonts w:cs="Arial"/>
                <w:sz w:val="20"/>
                <w:szCs w:val="20"/>
              </w:rPr>
              <w:t xml:space="preserve">Infrastructure renewals which are expensed rather than capitalised in the statutory accounts. </w:t>
            </w:r>
          </w:p>
          <w:p w14:paraId="1F9F9B7F" w14:textId="77777777" w:rsidR="007D1218" w:rsidRDefault="007D1218" w:rsidP="008B45DA">
            <w:pPr>
              <w:spacing w:before="120"/>
              <w:rPr>
                <w:rFonts w:cs="Arial"/>
                <w:sz w:val="20"/>
                <w:szCs w:val="20"/>
              </w:rPr>
            </w:pPr>
            <w:r>
              <w:rPr>
                <w:rFonts w:cs="Arial"/>
                <w:sz w:val="20"/>
                <w:szCs w:val="20"/>
              </w:rPr>
              <w:t xml:space="preserve">Refers to expenditure capitalised under the UKGAAP accounting but classified as an operating cost under IFRS. Costs are also referred to as </w:t>
            </w:r>
            <w:proofErr w:type="spellStart"/>
            <w:r>
              <w:rPr>
                <w:rFonts w:cs="Arial"/>
                <w:sz w:val="20"/>
                <w:szCs w:val="20"/>
              </w:rPr>
              <w:t>opex</w:t>
            </w:r>
            <w:proofErr w:type="spellEnd"/>
            <w:r>
              <w:rPr>
                <w:rFonts w:cs="Arial"/>
                <w:sz w:val="20"/>
                <w:szCs w:val="20"/>
              </w:rPr>
              <w:t xml:space="preserve"> transfers.</w:t>
            </w:r>
          </w:p>
          <w:p w14:paraId="491D206B" w14:textId="77777777" w:rsidR="007D1218" w:rsidRPr="00DD21C7" w:rsidRDefault="007D1218" w:rsidP="008B45DA">
            <w:pPr>
              <w:spacing w:before="120"/>
              <w:rPr>
                <w:rFonts w:cs="Arial"/>
                <w:sz w:val="20"/>
                <w:szCs w:val="20"/>
              </w:rPr>
            </w:pPr>
            <w:r>
              <w:rPr>
                <w:rFonts w:cs="Arial"/>
                <w:sz w:val="20"/>
                <w:szCs w:val="20"/>
              </w:rPr>
              <w:t>Expenditure is incurred on the sewerage collection and treated water distribution business units only and is allocated accordingly.</w:t>
            </w:r>
          </w:p>
        </w:tc>
      </w:tr>
      <w:tr w:rsidR="007D1218" w:rsidRPr="0091297D" w14:paraId="40FE2220" w14:textId="77777777" w:rsidTr="008B45DA">
        <w:tc>
          <w:tcPr>
            <w:tcW w:w="1755" w:type="dxa"/>
          </w:tcPr>
          <w:p w14:paraId="04A52955" w14:textId="77777777" w:rsidR="007D1218" w:rsidRPr="00DD21C7" w:rsidRDefault="007D1218" w:rsidP="008B45DA">
            <w:pPr>
              <w:spacing w:before="120"/>
              <w:rPr>
                <w:rFonts w:cs="Arial"/>
                <w:sz w:val="20"/>
                <w:szCs w:val="20"/>
              </w:rPr>
            </w:pPr>
            <w:r>
              <w:rPr>
                <w:rFonts w:cs="Arial"/>
                <w:sz w:val="20"/>
                <w:szCs w:val="20"/>
              </w:rPr>
              <w:t>Renewals expensed in year (non-infrastructure)</w:t>
            </w:r>
          </w:p>
        </w:tc>
        <w:tc>
          <w:tcPr>
            <w:tcW w:w="6467" w:type="dxa"/>
          </w:tcPr>
          <w:p w14:paraId="4F2F43AC" w14:textId="77777777" w:rsidR="007D1218" w:rsidRDefault="007D1218" w:rsidP="008B45DA">
            <w:pPr>
              <w:spacing w:before="120"/>
              <w:rPr>
                <w:rFonts w:cs="Arial"/>
                <w:sz w:val="20"/>
                <w:szCs w:val="20"/>
              </w:rPr>
            </w:pPr>
            <w:r>
              <w:rPr>
                <w:rFonts w:cs="Arial"/>
                <w:sz w:val="20"/>
                <w:szCs w:val="20"/>
              </w:rPr>
              <w:t>Non-Infrastructure renewals which are expensed rather than capitalised in the statutory accounts.</w:t>
            </w:r>
          </w:p>
          <w:p w14:paraId="6343F440" w14:textId="77777777" w:rsidR="007D1218" w:rsidRPr="00DD21C7" w:rsidRDefault="007D1218" w:rsidP="008B45DA">
            <w:pPr>
              <w:spacing w:before="120"/>
              <w:rPr>
                <w:rFonts w:cs="Arial"/>
                <w:sz w:val="20"/>
                <w:szCs w:val="20"/>
              </w:rPr>
            </w:pPr>
            <w:r>
              <w:rPr>
                <w:rFonts w:cs="Arial"/>
                <w:sz w:val="20"/>
                <w:szCs w:val="20"/>
              </w:rPr>
              <w:t>Currently all SWW non infrastructure renewals are capitalised.</w:t>
            </w:r>
          </w:p>
        </w:tc>
      </w:tr>
      <w:tr w:rsidR="007D1218" w:rsidRPr="0091297D" w14:paraId="6A1FB291" w14:textId="77777777" w:rsidTr="008B45DA">
        <w:tc>
          <w:tcPr>
            <w:tcW w:w="1755" w:type="dxa"/>
          </w:tcPr>
          <w:p w14:paraId="70700E86" w14:textId="77777777" w:rsidR="007D1218" w:rsidRPr="00785308" w:rsidRDefault="007D1218" w:rsidP="008B45DA">
            <w:pPr>
              <w:spacing w:before="120"/>
              <w:rPr>
                <w:rFonts w:cs="Arial"/>
                <w:sz w:val="20"/>
                <w:szCs w:val="20"/>
              </w:rPr>
            </w:pPr>
            <w:r w:rsidRPr="00785308">
              <w:rPr>
                <w:rFonts w:cs="Arial"/>
                <w:sz w:val="20"/>
                <w:szCs w:val="20"/>
              </w:rPr>
              <w:lastRenderedPageBreak/>
              <w:t>Other operating expenditure</w:t>
            </w:r>
          </w:p>
        </w:tc>
        <w:tc>
          <w:tcPr>
            <w:tcW w:w="6467" w:type="dxa"/>
          </w:tcPr>
          <w:p w14:paraId="15EA0FE9" w14:textId="77777777" w:rsidR="007D1218" w:rsidRPr="00785308" w:rsidRDefault="007D1218" w:rsidP="008B45DA">
            <w:pPr>
              <w:spacing w:before="120"/>
              <w:rPr>
                <w:rFonts w:cs="Arial"/>
                <w:sz w:val="20"/>
                <w:szCs w:val="20"/>
              </w:rPr>
            </w:pPr>
            <w:r w:rsidRPr="00785308">
              <w:rPr>
                <w:rFonts w:cs="Arial"/>
                <w:sz w:val="20"/>
                <w:szCs w:val="20"/>
              </w:rPr>
              <w:t>All other operating costs.</w:t>
            </w:r>
          </w:p>
          <w:p w14:paraId="4F712068" w14:textId="77777777" w:rsidR="007D1218" w:rsidRPr="00785308" w:rsidRDefault="007D1218" w:rsidP="008B45DA">
            <w:pPr>
              <w:spacing w:before="120"/>
              <w:rPr>
                <w:rFonts w:cs="Arial"/>
                <w:sz w:val="20"/>
                <w:szCs w:val="20"/>
              </w:rPr>
            </w:pPr>
            <w:r w:rsidRPr="00785308">
              <w:rPr>
                <w:rFonts w:cs="Arial"/>
                <w:sz w:val="20"/>
                <w:szCs w:val="20"/>
              </w:rPr>
              <w:t>Allocated to business units based on the underlying cost driver of the specific cost.</w:t>
            </w:r>
          </w:p>
          <w:p w14:paraId="41F5098D" w14:textId="77777777" w:rsidR="007D1218" w:rsidRPr="00785308" w:rsidRDefault="007D1218" w:rsidP="008B45DA">
            <w:pPr>
              <w:spacing w:before="120"/>
              <w:rPr>
                <w:rFonts w:cs="Arial"/>
                <w:sz w:val="20"/>
                <w:szCs w:val="20"/>
              </w:rPr>
            </w:pPr>
            <w:r w:rsidRPr="00785308">
              <w:rPr>
                <w:rFonts w:cs="Arial"/>
                <w:sz w:val="20"/>
                <w:szCs w:val="20"/>
              </w:rPr>
              <w:t>Where possible other operating expenditure is allocated directly to business units.  Where direct allocation is not possible management assessment is used to allocate the costs.</w:t>
            </w:r>
          </w:p>
          <w:p w14:paraId="707C42E8" w14:textId="77777777" w:rsidR="007D1218" w:rsidRPr="00785308" w:rsidRDefault="007D1218" w:rsidP="008B45DA">
            <w:pPr>
              <w:spacing w:before="120"/>
              <w:rPr>
                <w:rFonts w:cs="Arial"/>
                <w:sz w:val="20"/>
                <w:szCs w:val="20"/>
              </w:rPr>
            </w:pPr>
            <w:r w:rsidRPr="00785308">
              <w:rPr>
                <w:rFonts w:cs="Arial"/>
                <w:sz w:val="20"/>
                <w:szCs w:val="20"/>
              </w:rPr>
              <w:t>Corporate and support costs are allocated to business units using the most appropriate underlying cost driver.  Where costs cannot be specifically allocated costs are apportioned pro-rata to direct or total cost.</w:t>
            </w:r>
          </w:p>
        </w:tc>
      </w:tr>
      <w:tr w:rsidR="007D1218" w:rsidRPr="0091297D" w14:paraId="283A09CC" w14:textId="77777777" w:rsidTr="008B45DA">
        <w:tc>
          <w:tcPr>
            <w:tcW w:w="1755" w:type="dxa"/>
          </w:tcPr>
          <w:p w14:paraId="5D126148" w14:textId="77777777" w:rsidR="007D1218" w:rsidRPr="00785308" w:rsidRDefault="007D1218" w:rsidP="008B45DA">
            <w:pPr>
              <w:spacing w:before="120"/>
              <w:rPr>
                <w:rFonts w:cs="Arial"/>
                <w:sz w:val="20"/>
                <w:szCs w:val="20"/>
              </w:rPr>
            </w:pPr>
            <w:r w:rsidRPr="00785308">
              <w:rPr>
                <w:rFonts w:cs="Arial"/>
                <w:sz w:val="20"/>
                <w:szCs w:val="20"/>
              </w:rPr>
              <w:t>Local authority rates</w:t>
            </w:r>
          </w:p>
        </w:tc>
        <w:tc>
          <w:tcPr>
            <w:tcW w:w="6467" w:type="dxa"/>
          </w:tcPr>
          <w:p w14:paraId="252AE39F" w14:textId="77777777" w:rsidR="007D1218" w:rsidRPr="00785308" w:rsidRDefault="007D1218" w:rsidP="008B45DA">
            <w:pPr>
              <w:spacing w:before="120"/>
              <w:rPr>
                <w:rFonts w:cs="Arial"/>
                <w:sz w:val="20"/>
                <w:szCs w:val="20"/>
              </w:rPr>
            </w:pPr>
            <w:r w:rsidRPr="00785308">
              <w:rPr>
                <w:rFonts w:cs="Arial"/>
                <w:sz w:val="20"/>
                <w:szCs w:val="20"/>
              </w:rPr>
              <w:t xml:space="preserve">The cost of local authority rates (including </w:t>
            </w:r>
            <w:proofErr w:type="spellStart"/>
            <w:r w:rsidRPr="00785308">
              <w:rPr>
                <w:rFonts w:cs="Arial"/>
                <w:sz w:val="20"/>
                <w:szCs w:val="20"/>
              </w:rPr>
              <w:t>cumulo</w:t>
            </w:r>
            <w:proofErr w:type="spellEnd"/>
            <w:r w:rsidRPr="00785308">
              <w:rPr>
                <w:rFonts w:cs="Arial"/>
                <w:sz w:val="20"/>
                <w:szCs w:val="20"/>
              </w:rPr>
              <w:t xml:space="preserve"> rates and sewage site rates).</w:t>
            </w:r>
          </w:p>
          <w:p w14:paraId="796B03C7" w14:textId="77777777" w:rsidR="007D1218" w:rsidRPr="00785308" w:rsidRDefault="007D1218" w:rsidP="008B45DA">
            <w:pPr>
              <w:spacing w:before="120"/>
              <w:rPr>
                <w:rFonts w:cs="Arial"/>
                <w:sz w:val="20"/>
                <w:szCs w:val="20"/>
              </w:rPr>
            </w:pPr>
            <w:r w:rsidRPr="00785308">
              <w:rPr>
                <w:rFonts w:cs="Arial"/>
                <w:sz w:val="20"/>
                <w:szCs w:val="20"/>
              </w:rPr>
              <w:t xml:space="preserve">Water </w:t>
            </w:r>
            <w:proofErr w:type="spellStart"/>
            <w:r w:rsidRPr="00785308">
              <w:rPr>
                <w:rFonts w:cs="Arial"/>
                <w:sz w:val="20"/>
                <w:szCs w:val="20"/>
              </w:rPr>
              <w:t>Cumulo</w:t>
            </w:r>
            <w:proofErr w:type="spellEnd"/>
            <w:r w:rsidRPr="00785308">
              <w:rPr>
                <w:rFonts w:cs="Arial"/>
                <w:sz w:val="20"/>
                <w:szCs w:val="20"/>
              </w:rPr>
              <w:t xml:space="preserve"> are allocated </w:t>
            </w:r>
            <w:proofErr w:type="gramStart"/>
            <w:r w:rsidRPr="00785308">
              <w:rPr>
                <w:rFonts w:cs="Arial"/>
                <w:sz w:val="20"/>
                <w:szCs w:val="20"/>
              </w:rPr>
              <w:t>on the basis of</w:t>
            </w:r>
            <w:proofErr w:type="gramEnd"/>
            <w:r w:rsidRPr="00785308">
              <w:rPr>
                <w:rFonts w:cs="Arial"/>
                <w:sz w:val="20"/>
                <w:szCs w:val="20"/>
              </w:rPr>
              <w:t xml:space="preserve"> MEAV (Modern Equivalent Asset Value).</w:t>
            </w:r>
          </w:p>
          <w:p w14:paraId="197CF244" w14:textId="77777777" w:rsidR="007D1218" w:rsidRPr="00785308" w:rsidRDefault="007D1218" w:rsidP="008B45DA">
            <w:pPr>
              <w:spacing w:before="120"/>
              <w:rPr>
                <w:rFonts w:cs="Arial"/>
                <w:sz w:val="20"/>
                <w:szCs w:val="20"/>
              </w:rPr>
            </w:pPr>
            <w:r w:rsidRPr="00785308">
              <w:rPr>
                <w:rFonts w:cs="Arial"/>
                <w:sz w:val="20"/>
                <w:szCs w:val="20"/>
              </w:rPr>
              <w:t xml:space="preserve">Sewerage rates allocated direct to sites via local authority bill. At combined sewage and sludge treatment centres rates are apportioned on MEAV. </w:t>
            </w:r>
          </w:p>
          <w:p w14:paraId="6966CFAD" w14:textId="77777777" w:rsidR="007D1218" w:rsidRPr="00785308" w:rsidRDefault="007D1218" w:rsidP="008B45DA">
            <w:pPr>
              <w:spacing w:before="120"/>
              <w:rPr>
                <w:rFonts w:cs="Arial"/>
                <w:sz w:val="20"/>
                <w:szCs w:val="20"/>
              </w:rPr>
            </w:pPr>
            <w:r w:rsidRPr="00785308">
              <w:rPr>
                <w:rFonts w:cs="Arial"/>
                <w:sz w:val="20"/>
                <w:szCs w:val="20"/>
              </w:rPr>
              <w:t>Local authority rates for support buildings are apportioned between functions by floor area.</w:t>
            </w:r>
          </w:p>
        </w:tc>
      </w:tr>
      <w:tr w:rsidR="007D1218" w:rsidRPr="0091297D" w14:paraId="6A33D7B8" w14:textId="77777777" w:rsidTr="008B45DA">
        <w:tc>
          <w:tcPr>
            <w:tcW w:w="1755" w:type="dxa"/>
          </w:tcPr>
          <w:p w14:paraId="5596AACE" w14:textId="77777777" w:rsidR="007D1218" w:rsidRPr="00785308" w:rsidRDefault="007D1218" w:rsidP="008B45DA">
            <w:pPr>
              <w:spacing w:before="120"/>
              <w:rPr>
                <w:rFonts w:cs="Arial"/>
                <w:sz w:val="20"/>
                <w:szCs w:val="20"/>
              </w:rPr>
            </w:pPr>
            <w:r w:rsidRPr="00785308">
              <w:rPr>
                <w:rFonts w:cs="Arial"/>
                <w:sz w:val="20"/>
                <w:szCs w:val="20"/>
              </w:rPr>
              <w:t>Third Party Services – Operating Expenditure</w:t>
            </w:r>
          </w:p>
        </w:tc>
        <w:tc>
          <w:tcPr>
            <w:tcW w:w="6467" w:type="dxa"/>
          </w:tcPr>
          <w:p w14:paraId="1023768F" w14:textId="77777777" w:rsidR="007D1218" w:rsidRPr="00785308" w:rsidRDefault="007D1218" w:rsidP="008B45DA">
            <w:pPr>
              <w:spacing w:before="120"/>
              <w:rPr>
                <w:rFonts w:cs="Arial"/>
                <w:sz w:val="20"/>
                <w:szCs w:val="20"/>
              </w:rPr>
            </w:pPr>
            <w:r w:rsidRPr="00785308">
              <w:rPr>
                <w:rFonts w:cs="Arial"/>
                <w:sz w:val="20"/>
                <w:szCs w:val="20"/>
              </w:rPr>
              <w:t>Operating expenditure relating to providing third party services.</w:t>
            </w:r>
          </w:p>
          <w:p w14:paraId="3B87F7A2" w14:textId="77777777" w:rsidR="007D1218" w:rsidRPr="00785308" w:rsidRDefault="007D1218" w:rsidP="008B45DA">
            <w:pPr>
              <w:spacing w:before="120"/>
              <w:rPr>
                <w:rFonts w:cs="Arial"/>
                <w:sz w:val="20"/>
                <w:szCs w:val="20"/>
              </w:rPr>
            </w:pPr>
            <w:r w:rsidRPr="00785308">
              <w:rPr>
                <w:rFonts w:cs="Arial"/>
                <w:sz w:val="20"/>
                <w:szCs w:val="20"/>
              </w:rPr>
              <w:t xml:space="preserve">Allocated to business unit based on the underlying cost driver of the specific cost. Where possible </w:t>
            </w:r>
            <w:proofErr w:type="gramStart"/>
            <w:r w:rsidRPr="00785308">
              <w:rPr>
                <w:rFonts w:cs="Arial"/>
                <w:sz w:val="20"/>
                <w:szCs w:val="20"/>
              </w:rPr>
              <w:t>third party</w:t>
            </w:r>
            <w:proofErr w:type="gramEnd"/>
            <w:r w:rsidRPr="00785308">
              <w:rPr>
                <w:rFonts w:cs="Arial"/>
                <w:sz w:val="20"/>
                <w:szCs w:val="20"/>
              </w:rPr>
              <w:t xml:space="preserve"> services costs are allocated directly to a business unit.  Where direct allocation is not possible management assessment is used to allocate the costs.</w:t>
            </w:r>
          </w:p>
        </w:tc>
      </w:tr>
    </w:tbl>
    <w:p w14:paraId="61E78DD3" w14:textId="77777777" w:rsidR="007D1218" w:rsidRPr="0091297D" w:rsidRDefault="007D1218" w:rsidP="007D1218">
      <w:pPr>
        <w:pStyle w:val="ListParagraph"/>
        <w:ind w:left="567"/>
        <w:rPr>
          <w:rFonts w:asciiTheme="minorHAnsi" w:hAnsiTheme="minorHAnsi" w:cs="Arial"/>
          <w:color w:val="000000"/>
          <w:sz w:val="22"/>
          <w:szCs w:val="22"/>
          <w:highlight w:val="yellow"/>
        </w:rPr>
      </w:pPr>
    </w:p>
    <w:p w14:paraId="0B38CBA5" w14:textId="77777777" w:rsidR="007D1218" w:rsidRPr="00912FEB" w:rsidRDefault="007D1218" w:rsidP="009C3ABF">
      <w:pPr>
        <w:pStyle w:val="ListParagraph"/>
        <w:numPr>
          <w:ilvl w:val="1"/>
          <w:numId w:val="5"/>
        </w:numPr>
        <w:ind w:left="567" w:hanging="567"/>
        <w:rPr>
          <w:rFonts w:asciiTheme="minorHAnsi" w:hAnsiTheme="minorHAnsi" w:cs="Arial"/>
          <w:color w:val="000000"/>
          <w:sz w:val="22"/>
          <w:szCs w:val="22"/>
        </w:rPr>
      </w:pPr>
      <w:r w:rsidRPr="00912FEB">
        <w:rPr>
          <w:rFonts w:asciiTheme="minorHAnsi" w:hAnsiTheme="minorHAnsi" w:cs="Arial"/>
          <w:color w:val="000000"/>
          <w:sz w:val="22"/>
          <w:szCs w:val="22"/>
        </w:rPr>
        <w:t xml:space="preserve">Wholesale direct cost allocations are initiated by a combination of the cost centre, process code and expense element of Ellipse.  </w:t>
      </w:r>
    </w:p>
    <w:p w14:paraId="1CE93350" w14:textId="77777777" w:rsidR="007D1218" w:rsidRPr="00912FEB" w:rsidRDefault="007D1218" w:rsidP="007D1218">
      <w:pPr>
        <w:pStyle w:val="ListParagraph"/>
        <w:ind w:left="567"/>
        <w:rPr>
          <w:rFonts w:asciiTheme="minorHAnsi" w:hAnsiTheme="minorHAnsi" w:cs="Arial"/>
          <w:color w:val="000000"/>
          <w:sz w:val="22"/>
          <w:szCs w:val="22"/>
        </w:rPr>
      </w:pPr>
    </w:p>
    <w:p w14:paraId="39624AA5" w14:textId="77777777" w:rsidR="007D1218" w:rsidRPr="00912FEB" w:rsidRDefault="007D1218" w:rsidP="009C3ABF">
      <w:pPr>
        <w:pStyle w:val="ListParagraph"/>
        <w:numPr>
          <w:ilvl w:val="0"/>
          <w:numId w:val="6"/>
        </w:numPr>
        <w:ind w:left="851" w:hanging="284"/>
        <w:rPr>
          <w:rFonts w:asciiTheme="minorHAnsi" w:hAnsiTheme="minorHAnsi" w:cs="Arial"/>
          <w:color w:val="000000"/>
          <w:sz w:val="22"/>
          <w:szCs w:val="22"/>
        </w:rPr>
      </w:pPr>
      <w:r w:rsidRPr="00912FEB">
        <w:rPr>
          <w:rFonts w:asciiTheme="minorHAnsi" w:hAnsiTheme="minorHAnsi" w:cs="Arial"/>
          <w:color w:val="000000"/>
          <w:sz w:val="22"/>
          <w:szCs w:val="22"/>
        </w:rPr>
        <w:t>Cost centre</w:t>
      </w:r>
    </w:p>
    <w:p w14:paraId="0AD679D5" w14:textId="77777777" w:rsidR="007D1218" w:rsidRPr="00912FEB" w:rsidRDefault="007D1218" w:rsidP="007D1218">
      <w:pPr>
        <w:pStyle w:val="ListParagraph"/>
        <w:ind w:left="1287"/>
        <w:rPr>
          <w:rFonts w:asciiTheme="minorHAnsi" w:hAnsiTheme="minorHAnsi" w:cs="Arial"/>
          <w:color w:val="000000"/>
          <w:sz w:val="22"/>
          <w:szCs w:val="22"/>
        </w:rPr>
      </w:pPr>
    </w:p>
    <w:p w14:paraId="610C8458" w14:textId="77777777" w:rsidR="007D1218" w:rsidRPr="00912FEB" w:rsidRDefault="007D1218" w:rsidP="007D1218">
      <w:pPr>
        <w:pStyle w:val="ListParagraph"/>
        <w:ind w:left="851"/>
        <w:rPr>
          <w:rFonts w:asciiTheme="minorHAnsi" w:hAnsiTheme="minorHAnsi" w:cs="Arial"/>
          <w:color w:val="000000"/>
          <w:sz w:val="22"/>
          <w:szCs w:val="22"/>
        </w:rPr>
      </w:pPr>
      <w:r w:rsidRPr="00912FEB">
        <w:rPr>
          <w:rFonts w:asciiTheme="minorHAnsi" w:hAnsiTheme="minorHAnsi" w:cs="Arial"/>
          <w:color w:val="000000"/>
          <w:sz w:val="22"/>
          <w:szCs w:val="22"/>
        </w:rPr>
        <w:t>Initial allocation of a cost centre to a business unit is based on the nature of the cost centre.  The subjective analysis category is driven by the cost centre.  Where the subjective analysis category matches a business unit description an allocation to that specific business unit is made.  For example, “Water Treatment” subjective analysis category is allocated to the</w:t>
      </w:r>
      <w:r>
        <w:rPr>
          <w:rFonts w:asciiTheme="minorHAnsi" w:hAnsiTheme="minorHAnsi" w:cs="Arial"/>
          <w:color w:val="000000"/>
          <w:sz w:val="22"/>
          <w:szCs w:val="22"/>
        </w:rPr>
        <w:t xml:space="preserve"> Water Treatment business unit.</w:t>
      </w:r>
    </w:p>
    <w:p w14:paraId="383E0500" w14:textId="77777777" w:rsidR="007D1218" w:rsidRPr="0091297D" w:rsidRDefault="007D1218" w:rsidP="007D1218">
      <w:pPr>
        <w:rPr>
          <w:rFonts w:cs="Arial"/>
          <w:color w:val="000000"/>
          <w:highlight w:val="yellow"/>
        </w:rPr>
      </w:pPr>
    </w:p>
    <w:p w14:paraId="3E52B375" w14:textId="77777777" w:rsidR="007D1218" w:rsidRPr="00912FEB" w:rsidRDefault="007D1218" w:rsidP="009C3ABF">
      <w:pPr>
        <w:pStyle w:val="ListParagraph"/>
        <w:numPr>
          <w:ilvl w:val="0"/>
          <w:numId w:val="6"/>
        </w:numPr>
        <w:ind w:left="851" w:hanging="284"/>
        <w:rPr>
          <w:rFonts w:asciiTheme="minorHAnsi" w:hAnsiTheme="minorHAnsi" w:cs="Arial"/>
          <w:color w:val="000000"/>
          <w:sz w:val="22"/>
          <w:szCs w:val="22"/>
        </w:rPr>
      </w:pPr>
      <w:r w:rsidRPr="00912FEB">
        <w:rPr>
          <w:rFonts w:asciiTheme="minorHAnsi" w:hAnsiTheme="minorHAnsi" w:cs="Arial"/>
          <w:color w:val="000000"/>
          <w:sz w:val="22"/>
          <w:szCs w:val="22"/>
        </w:rPr>
        <w:t>Process code</w:t>
      </w:r>
    </w:p>
    <w:p w14:paraId="05BB5CE9" w14:textId="77777777" w:rsidR="007D1218" w:rsidRPr="00912FEB" w:rsidRDefault="007D1218" w:rsidP="007D1218">
      <w:pPr>
        <w:pStyle w:val="ListParagraph"/>
        <w:ind w:left="1287"/>
        <w:rPr>
          <w:rFonts w:asciiTheme="minorHAnsi" w:hAnsiTheme="minorHAnsi" w:cs="Arial"/>
          <w:color w:val="000000"/>
          <w:sz w:val="22"/>
          <w:szCs w:val="22"/>
        </w:rPr>
      </w:pPr>
    </w:p>
    <w:p w14:paraId="7FE7FC1B" w14:textId="77777777" w:rsidR="007D1218" w:rsidRPr="00912FEB" w:rsidRDefault="007D1218" w:rsidP="007D1218">
      <w:pPr>
        <w:pStyle w:val="ListParagraph"/>
        <w:ind w:left="851"/>
        <w:rPr>
          <w:rFonts w:asciiTheme="minorHAnsi" w:hAnsiTheme="minorHAnsi" w:cs="Arial"/>
          <w:color w:val="000000"/>
          <w:sz w:val="22"/>
          <w:szCs w:val="22"/>
        </w:rPr>
      </w:pPr>
      <w:r w:rsidRPr="00912FEB">
        <w:rPr>
          <w:rFonts w:asciiTheme="minorHAnsi" w:hAnsiTheme="minorHAnsi" w:cs="Arial"/>
          <w:color w:val="000000"/>
          <w:sz w:val="22"/>
          <w:szCs w:val="22"/>
        </w:rPr>
        <w:t>Certain activities performed by South West Water can be identified through the process code for example A95 Abstraction charges.  Allocations of certain costs to business units are made based on these codes.</w:t>
      </w:r>
    </w:p>
    <w:p w14:paraId="01BF911F" w14:textId="77777777" w:rsidR="007D1218" w:rsidRPr="0091297D" w:rsidRDefault="007D1218" w:rsidP="007D1218">
      <w:pPr>
        <w:pStyle w:val="ListParagraph"/>
        <w:ind w:left="1287"/>
        <w:rPr>
          <w:rFonts w:asciiTheme="minorHAnsi" w:hAnsiTheme="minorHAnsi" w:cs="Arial"/>
          <w:color w:val="000000"/>
          <w:sz w:val="22"/>
          <w:szCs w:val="22"/>
          <w:highlight w:val="yellow"/>
        </w:rPr>
      </w:pPr>
    </w:p>
    <w:p w14:paraId="2D2F08BC" w14:textId="77777777" w:rsidR="007D1218" w:rsidRPr="00912FEB" w:rsidRDefault="007D1218" w:rsidP="007D1218">
      <w:pPr>
        <w:pStyle w:val="ListParagraph"/>
        <w:ind w:left="851"/>
        <w:rPr>
          <w:rFonts w:asciiTheme="minorHAnsi" w:hAnsiTheme="minorHAnsi" w:cs="Arial"/>
          <w:color w:val="000000"/>
          <w:sz w:val="22"/>
          <w:szCs w:val="22"/>
        </w:rPr>
      </w:pPr>
      <w:r w:rsidRPr="00912FEB">
        <w:rPr>
          <w:rFonts w:asciiTheme="minorHAnsi" w:hAnsiTheme="minorHAnsi" w:cs="Arial"/>
          <w:color w:val="000000"/>
          <w:sz w:val="22"/>
          <w:szCs w:val="22"/>
        </w:rPr>
        <w:lastRenderedPageBreak/>
        <w:t xml:space="preserve">Based on the process codes, costs might be reallocated from the business unit to which the cost would have been allocated if only the cost centre and subjective analysis category was used for allocation.  </w:t>
      </w:r>
    </w:p>
    <w:p w14:paraId="006EF02A" w14:textId="77777777" w:rsidR="007D1218" w:rsidRPr="0091297D" w:rsidRDefault="007D1218" w:rsidP="007D1218">
      <w:pPr>
        <w:rPr>
          <w:rFonts w:cs="Arial"/>
          <w:color w:val="000000"/>
          <w:highlight w:val="yellow"/>
        </w:rPr>
      </w:pPr>
    </w:p>
    <w:p w14:paraId="3B0039E6" w14:textId="77777777" w:rsidR="007D1218" w:rsidRPr="00912FEB" w:rsidRDefault="007D1218" w:rsidP="009C3ABF">
      <w:pPr>
        <w:pStyle w:val="ListParagraph"/>
        <w:numPr>
          <w:ilvl w:val="0"/>
          <w:numId w:val="6"/>
        </w:numPr>
        <w:ind w:left="851" w:hanging="284"/>
        <w:rPr>
          <w:rFonts w:asciiTheme="minorHAnsi" w:hAnsiTheme="minorHAnsi" w:cs="Arial"/>
          <w:color w:val="000000"/>
          <w:sz w:val="22"/>
          <w:szCs w:val="22"/>
        </w:rPr>
      </w:pPr>
      <w:r w:rsidRPr="00912FEB">
        <w:rPr>
          <w:rFonts w:asciiTheme="minorHAnsi" w:hAnsiTheme="minorHAnsi" w:cs="Arial"/>
          <w:color w:val="000000"/>
          <w:sz w:val="22"/>
          <w:szCs w:val="22"/>
        </w:rPr>
        <w:t>Expense element</w:t>
      </w:r>
    </w:p>
    <w:p w14:paraId="12BA00B4" w14:textId="77777777" w:rsidR="007D1218" w:rsidRPr="00912FEB" w:rsidRDefault="007D1218" w:rsidP="007D1218">
      <w:pPr>
        <w:rPr>
          <w:rFonts w:cs="Arial"/>
          <w:color w:val="000000"/>
        </w:rPr>
      </w:pPr>
    </w:p>
    <w:p w14:paraId="04B9B7A9" w14:textId="77777777" w:rsidR="007D1218" w:rsidRPr="00912FEB" w:rsidRDefault="007D1218" w:rsidP="007D1218">
      <w:pPr>
        <w:ind w:left="851"/>
        <w:rPr>
          <w:rFonts w:cs="Arial"/>
          <w:color w:val="000000"/>
        </w:rPr>
      </w:pPr>
      <w:r w:rsidRPr="00912FEB">
        <w:rPr>
          <w:rFonts w:cs="Arial"/>
          <w:color w:val="000000"/>
        </w:rPr>
        <w:t xml:space="preserve">The accounting separation tables require the wholesale costs to be disclosed by the </w:t>
      </w:r>
      <w:r>
        <w:rPr>
          <w:rFonts w:cs="Arial"/>
          <w:color w:val="000000"/>
        </w:rPr>
        <w:t xml:space="preserve">expense types listed in the table </w:t>
      </w:r>
      <w:proofErr w:type="gramStart"/>
      <w:r>
        <w:rPr>
          <w:rFonts w:cs="Arial"/>
          <w:color w:val="000000"/>
        </w:rPr>
        <w:t>above</w:t>
      </w:r>
      <w:proofErr w:type="gramEnd"/>
    </w:p>
    <w:p w14:paraId="63C77FB2" w14:textId="77777777" w:rsidR="007D1218" w:rsidRPr="00912FEB" w:rsidRDefault="007D1218" w:rsidP="007D1218">
      <w:pPr>
        <w:ind w:left="1287"/>
        <w:rPr>
          <w:rFonts w:cs="Arial"/>
          <w:color w:val="000000"/>
        </w:rPr>
      </w:pPr>
    </w:p>
    <w:p w14:paraId="777ABD6E" w14:textId="77777777" w:rsidR="007D1218" w:rsidRPr="00912FEB" w:rsidRDefault="007D1218" w:rsidP="007D1218">
      <w:pPr>
        <w:pStyle w:val="ListParagraph"/>
        <w:ind w:left="851"/>
        <w:rPr>
          <w:rFonts w:asciiTheme="minorHAnsi" w:hAnsiTheme="minorHAnsi" w:cs="Arial"/>
          <w:color w:val="000000"/>
          <w:sz w:val="22"/>
          <w:szCs w:val="22"/>
        </w:rPr>
      </w:pPr>
      <w:r w:rsidRPr="00912FEB">
        <w:rPr>
          <w:rFonts w:asciiTheme="minorHAnsi" w:hAnsiTheme="minorHAnsi" w:cs="Arial"/>
          <w:color w:val="000000"/>
          <w:sz w:val="22"/>
          <w:szCs w:val="22"/>
        </w:rPr>
        <w:t xml:space="preserve">Costs are allocated to each of these cost types using the expense element.  For </w:t>
      </w:r>
      <w:proofErr w:type="gramStart"/>
      <w:r w:rsidRPr="00912FEB">
        <w:rPr>
          <w:rFonts w:asciiTheme="minorHAnsi" w:hAnsiTheme="minorHAnsi" w:cs="Arial"/>
          <w:color w:val="000000"/>
          <w:sz w:val="22"/>
          <w:szCs w:val="22"/>
        </w:rPr>
        <w:t>example</w:t>
      </w:r>
      <w:proofErr w:type="gramEnd"/>
      <w:r w:rsidRPr="00912FEB">
        <w:rPr>
          <w:rFonts w:asciiTheme="minorHAnsi" w:hAnsiTheme="minorHAnsi" w:cs="Arial"/>
          <w:color w:val="000000"/>
          <w:sz w:val="22"/>
          <w:szCs w:val="22"/>
        </w:rPr>
        <w:t xml:space="preserve"> expense element “Power” on a cost centre with a subjective analysis category of “Water Treatment” is allocated to the power cost type in the water treatment business unit: Water Treatment – Power. </w:t>
      </w:r>
    </w:p>
    <w:p w14:paraId="3AC22923" w14:textId="77777777" w:rsidR="007D1218" w:rsidRPr="00912FEB" w:rsidRDefault="007D1218" w:rsidP="007D1218">
      <w:pPr>
        <w:pStyle w:val="ListParagraph"/>
        <w:ind w:left="567"/>
        <w:rPr>
          <w:rFonts w:asciiTheme="minorHAnsi" w:hAnsiTheme="minorHAnsi" w:cs="Arial"/>
          <w:color w:val="000000"/>
          <w:sz w:val="22"/>
          <w:szCs w:val="22"/>
        </w:rPr>
      </w:pPr>
    </w:p>
    <w:p w14:paraId="45B0E713" w14:textId="77777777" w:rsidR="007D1218" w:rsidRPr="00912FEB" w:rsidRDefault="007D1218" w:rsidP="009C3ABF">
      <w:pPr>
        <w:pStyle w:val="ListParagraph"/>
        <w:numPr>
          <w:ilvl w:val="1"/>
          <w:numId w:val="5"/>
        </w:numPr>
        <w:ind w:left="567" w:hanging="567"/>
        <w:rPr>
          <w:rFonts w:asciiTheme="minorHAnsi" w:hAnsiTheme="minorHAnsi" w:cs="Arial"/>
          <w:sz w:val="22"/>
          <w:szCs w:val="22"/>
          <w:lang w:eastAsia="en-GB"/>
        </w:rPr>
      </w:pPr>
      <w:r w:rsidRPr="00912FEB">
        <w:rPr>
          <w:rFonts w:asciiTheme="minorHAnsi" w:hAnsiTheme="minorHAnsi" w:cs="Arial"/>
          <w:color w:val="000000"/>
          <w:sz w:val="22"/>
          <w:szCs w:val="22"/>
        </w:rPr>
        <w:t xml:space="preserve">Where cost allocations span the boundary between business </w:t>
      </w:r>
      <w:proofErr w:type="gramStart"/>
      <w:r w:rsidRPr="00912FEB">
        <w:rPr>
          <w:rFonts w:asciiTheme="minorHAnsi" w:hAnsiTheme="minorHAnsi" w:cs="Arial"/>
          <w:color w:val="000000"/>
          <w:sz w:val="22"/>
          <w:szCs w:val="22"/>
        </w:rPr>
        <w:t>units</w:t>
      </w:r>
      <w:proofErr w:type="gramEnd"/>
      <w:r w:rsidRPr="00912FEB">
        <w:rPr>
          <w:rFonts w:asciiTheme="minorHAnsi" w:hAnsiTheme="minorHAnsi" w:cs="Arial"/>
          <w:color w:val="000000"/>
          <w:sz w:val="22"/>
          <w:szCs w:val="22"/>
        </w:rPr>
        <w:t xml:space="preserve"> management assessment is required to allocate the cost.  </w:t>
      </w:r>
    </w:p>
    <w:p w14:paraId="2E9DA90F" w14:textId="77777777" w:rsidR="007D1218" w:rsidRPr="0091297D" w:rsidRDefault="007D1218" w:rsidP="007D1218">
      <w:pPr>
        <w:pStyle w:val="ListParagraph"/>
        <w:ind w:left="567"/>
        <w:rPr>
          <w:rFonts w:asciiTheme="minorHAnsi" w:hAnsiTheme="minorHAnsi" w:cs="Arial"/>
          <w:color w:val="000000"/>
          <w:sz w:val="22"/>
          <w:szCs w:val="22"/>
          <w:highlight w:val="yellow"/>
        </w:rPr>
      </w:pPr>
    </w:p>
    <w:p w14:paraId="716B602A" w14:textId="77777777" w:rsidR="007D1218" w:rsidRPr="00912FEB" w:rsidRDefault="007D1218" w:rsidP="00DB4B44">
      <w:pPr>
        <w:rPr>
          <w:b/>
        </w:rPr>
      </w:pPr>
      <w:bookmarkStart w:id="16" w:name="_Toc484511755"/>
      <w:r w:rsidRPr="00912FEB">
        <w:t>Scientific Services</w:t>
      </w:r>
      <w:bookmarkEnd w:id="16"/>
    </w:p>
    <w:p w14:paraId="3F55228B" w14:textId="77777777" w:rsidR="007D1218" w:rsidRPr="00912FEB" w:rsidRDefault="007D1218" w:rsidP="007D1218"/>
    <w:p w14:paraId="401B0EEE" w14:textId="77777777" w:rsidR="007D1218" w:rsidRPr="00912FEB" w:rsidRDefault="007D1218" w:rsidP="009C3ABF">
      <w:pPr>
        <w:pStyle w:val="ListParagraph"/>
        <w:numPr>
          <w:ilvl w:val="1"/>
          <w:numId w:val="5"/>
        </w:numPr>
        <w:ind w:left="567" w:hanging="567"/>
        <w:rPr>
          <w:rFonts w:asciiTheme="minorHAnsi" w:hAnsiTheme="minorHAnsi" w:cs="Arial"/>
          <w:color w:val="000000"/>
          <w:sz w:val="22"/>
          <w:szCs w:val="22"/>
        </w:rPr>
      </w:pPr>
      <w:r w:rsidRPr="00912FEB">
        <w:rPr>
          <w:rFonts w:asciiTheme="minorHAnsi" w:hAnsiTheme="minorHAnsi" w:cs="Arial"/>
          <w:color w:val="000000"/>
          <w:sz w:val="22"/>
          <w:szCs w:val="22"/>
        </w:rPr>
        <w:t>The entire total cost of scientific services has been allocated to the wholesale business units, covering the cost of sampling including sampling at customer taps, quality monitoring, testing, performance monitoring etc.</w:t>
      </w:r>
      <w:r>
        <w:rPr>
          <w:rFonts w:asciiTheme="minorHAnsi" w:hAnsiTheme="minorHAnsi" w:cs="Arial"/>
          <w:color w:val="000000"/>
          <w:sz w:val="22"/>
          <w:szCs w:val="22"/>
        </w:rPr>
        <w:t xml:space="preserve"> Sampling and qualit</w:t>
      </w:r>
      <w:r w:rsidRPr="00912FEB">
        <w:rPr>
          <w:rFonts w:asciiTheme="minorHAnsi" w:hAnsiTheme="minorHAnsi" w:cs="Arial"/>
          <w:color w:val="000000"/>
          <w:sz w:val="22"/>
          <w:szCs w:val="22"/>
        </w:rPr>
        <w:t>y monitoring costs are managed on a regional basis and allocated to business units based on the specific activities undertaken within each region by way of management assessment.</w:t>
      </w:r>
    </w:p>
    <w:p w14:paraId="69189188" w14:textId="77777777" w:rsidR="007D1218" w:rsidRPr="0091297D" w:rsidRDefault="007D1218" w:rsidP="007D1218">
      <w:pPr>
        <w:pStyle w:val="ListParagraph"/>
        <w:ind w:left="567"/>
        <w:rPr>
          <w:rFonts w:asciiTheme="minorHAnsi" w:hAnsiTheme="minorHAnsi" w:cs="Arial"/>
          <w:sz w:val="22"/>
          <w:szCs w:val="22"/>
          <w:highlight w:val="yellow"/>
          <w:lang w:eastAsia="en-GB"/>
        </w:rPr>
      </w:pPr>
    </w:p>
    <w:p w14:paraId="6E93FCC6" w14:textId="77777777" w:rsidR="007D1218" w:rsidRPr="00912FEB" w:rsidRDefault="007D1218" w:rsidP="009C3ABF">
      <w:pPr>
        <w:pStyle w:val="ListParagraph"/>
        <w:numPr>
          <w:ilvl w:val="1"/>
          <w:numId w:val="5"/>
        </w:numPr>
        <w:ind w:left="567" w:hanging="567"/>
        <w:rPr>
          <w:rFonts w:asciiTheme="minorHAnsi" w:hAnsiTheme="minorHAnsi" w:cs="Arial"/>
          <w:sz w:val="22"/>
          <w:szCs w:val="22"/>
          <w:lang w:eastAsia="en-GB"/>
        </w:rPr>
      </w:pPr>
      <w:r w:rsidRPr="00912FEB">
        <w:rPr>
          <w:rFonts w:asciiTheme="minorHAnsi" w:hAnsiTheme="minorHAnsi" w:cs="Arial"/>
          <w:sz w:val="22"/>
          <w:szCs w:val="22"/>
          <w:lang w:eastAsia="en-GB"/>
        </w:rPr>
        <w:t xml:space="preserve">Laboratory costs are allocated to business units based on the number of tests performed, whilst support costs including performance monitoring and senior managers’ time has been allocated based on management assessment. </w:t>
      </w:r>
    </w:p>
    <w:p w14:paraId="3E552720" w14:textId="77777777" w:rsidR="007D1218" w:rsidRPr="0091297D" w:rsidRDefault="007D1218" w:rsidP="007D1218">
      <w:pPr>
        <w:pStyle w:val="ListParagraph"/>
        <w:rPr>
          <w:rFonts w:asciiTheme="minorHAnsi" w:hAnsiTheme="minorHAnsi" w:cs="Arial"/>
          <w:sz w:val="22"/>
          <w:szCs w:val="22"/>
          <w:highlight w:val="yellow"/>
          <w:lang w:eastAsia="en-GB"/>
        </w:rPr>
      </w:pPr>
    </w:p>
    <w:p w14:paraId="63CABF61" w14:textId="77777777" w:rsidR="007D1218" w:rsidRPr="008E41E6" w:rsidRDefault="007D1218" w:rsidP="00DB4B44">
      <w:bookmarkStart w:id="17" w:name="_Toc356995375"/>
      <w:bookmarkStart w:id="18" w:name="_Toc389044479"/>
      <w:r w:rsidRPr="008E41E6">
        <w:t>Wholesale Manual Adjustments</w:t>
      </w:r>
      <w:bookmarkEnd w:id="17"/>
      <w:bookmarkEnd w:id="18"/>
    </w:p>
    <w:p w14:paraId="741CD463" w14:textId="77777777" w:rsidR="007D1218" w:rsidRPr="008E41E6" w:rsidRDefault="007D1218" w:rsidP="007D1218">
      <w:pPr>
        <w:rPr>
          <w:rFonts w:cs="Arial"/>
          <w:color w:val="000000"/>
        </w:rPr>
      </w:pPr>
    </w:p>
    <w:p w14:paraId="110CC63D" w14:textId="77777777" w:rsidR="007D1218" w:rsidRPr="008E41E6" w:rsidRDefault="007D1218" w:rsidP="009C3ABF">
      <w:pPr>
        <w:pStyle w:val="ListParagraph"/>
        <w:numPr>
          <w:ilvl w:val="1"/>
          <w:numId w:val="5"/>
        </w:numPr>
        <w:ind w:left="567" w:hanging="567"/>
        <w:rPr>
          <w:rFonts w:asciiTheme="minorHAnsi" w:hAnsiTheme="minorHAnsi" w:cs="Arial"/>
          <w:color w:val="000000"/>
          <w:sz w:val="22"/>
          <w:szCs w:val="22"/>
        </w:rPr>
      </w:pPr>
      <w:r w:rsidRPr="008E41E6">
        <w:rPr>
          <w:rFonts w:asciiTheme="minorHAnsi" w:hAnsiTheme="minorHAnsi" w:cs="Arial"/>
          <w:color w:val="000000"/>
          <w:sz w:val="22"/>
          <w:szCs w:val="22"/>
        </w:rPr>
        <w:t xml:space="preserve">Due to the current data hierarchies used by </w:t>
      </w:r>
      <w:proofErr w:type="gramStart"/>
      <w:r w:rsidRPr="008E41E6">
        <w:rPr>
          <w:rFonts w:asciiTheme="minorHAnsi" w:hAnsiTheme="minorHAnsi" w:cs="Arial"/>
          <w:color w:val="000000"/>
          <w:sz w:val="22"/>
          <w:szCs w:val="22"/>
        </w:rPr>
        <w:t>South West</w:t>
      </w:r>
      <w:proofErr w:type="gramEnd"/>
      <w:r w:rsidRPr="008E41E6">
        <w:rPr>
          <w:rFonts w:asciiTheme="minorHAnsi" w:hAnsiTheme="minorHAnsi" w:cs="Arial"/>
          <w:color w:val="000000"/>
          <w:sz w:val="22"/>
          <w:szCs w:val="22"/>
        </w:rPr>
        <w:t xml:space="preserve"> Water being primarily in place to support the management structures of the Company certain costs allocated based on cost centre, process code and expense element require manual adjustment in order to allocate the costs to the appropriate, Ofwat defined, business unit.</w:t>
      </w:r>
    </w:p>
    <w:p w14:paraId="321DD7C5" w14:textId="77777777" w:rsidR="007D1218" w:rsidRPr="008E41E6" w:rsidRDefault="007D1218" w:rsidP="007D1218">
      <w:pPr>
        <w:pStyle w:val="ListParagraph"/>
        <w:ind w:left="567"/>
        <w:rPr>
          <w:rFonts w:asciiTheme="minorHAnsi" w:hAnsiTheme="minorHAnsi" w:cs="Arial"/>
          <w:color w:val="000000"/>
          <w:sz w:val="22"/>
          <w:szCs w:val="22"/>
        </w:rPr>
      </w:pPr>
    </w:p>
    <w:p w14:paraId="3DEB7097" w14:textId="77777777" w:rsidR="007D1218" w:rsidRDefault="007D1218" w:rsidP="009C3ABF">
      <w:pPr>
        <w:pStyle w:val="ListParagraph"/>
        <w:numPr>
          <w:ilvl w:val="1"/>
          <w:numId w:val="5"/>
        </w:numPr>
        <w:ind w:left="567" w:hanging="567"/>
        <w:rPr>
          <w:rFonts w:asciiTheme="minorHAnsi" w:hAnsiTheme="minorHAnsi" w:cs="Arial"/>
          <w:color w:val="000000"/>
          <w:sz w:val="22"/>
          <w:szCs w:val="22"/>
        </w:rPr>
      </w:pPr>
      <w:r w:rsidRPr="008E41E6">
        <w:rPr>
          <w:rFonts w:asciiTheme="minorHAnsi" w:hAnsiTheme="minorHAnsi" w:cs="Arial"/>
          <w:color w:val="000000"/>
          <w:sz w:val="22"/>
          <w:szCs w:val="22"/>
        </w:rPr>
        <w:t xml:space="preserve">The manual adjustments are processed within Excel in a separate adjustments model.  This model utilises data contained within the GL, equipment </w:t>
      </w:r>
      <w:proofErr w:type="gramStart"/>
      <w:r w:rsidRPr="008E41E6">
        <w:rPr>
          <w:rFonts w:asciiTheme="minorHAnsi" w:hAnsiTheme="minorHAnsi" w:cs="Arial"/>
          <w:color w:val="000000"/>
          <w:sz w:val="22"/>
          <w:szCs w:val="22"/>
        </w:rPr>
        <w:t>register</w:t>
      </w:r>
      <w:proofErr w:type="gramEnd"/>
      <w:r w:rsidRPr="008E41E6">
        <w:rPr>
          <w:rFonts w:asciiTheme="minorHAnsi" w:hAnsiTheme="minorHAnsi" w:cs="Arial"/>
          <w:color w:val="000000"/>
          <w:sz w:val="22"/>
          <w:szCs w:val="22"/>
        </w:rPr>
        <w:t>, chemical purchasing system together with management and specialist assessments of cost allocation (e.g. manpower allocations, power assessments, etc) to determine the adjustments required to the business unit cost allocations.</w:t>
      </w:r>
    </w:p>
    <w:p w14:paraId="0C4B2A66" w14:textId="77777777" w:rsidR="007D1218" w:rsidRPr="008B45DA" w:rsidRDefault="007D1218" w:rsidP="007D1218">
      <w:pPr>
        <w:rPr>
          <w:rFonts w:cs="Arial"/>
          <w:color w:val="000000"/>
        </w:rPr>
      </w:pPr>
    </w:p>
    <w:p w14:paraId="3AA640DB" w14:textId="77777777" w:rsidR="007D1218" w:rsidRPr="008E41E6" w:rsidRDefault="007D1218" w:rsidP="009C3ABF">
      <w:pPr>
        <w:pStyle w:val="ListParagraph"/>
        <w:numPr>
          <w:ilvl w:val="1"/>
          <w:numId w:val="5"/>
        </w:numPr>
        <w:ind w:left="567" w:hanging="567"/>
        <w:rPr>
          <w:rFonts w:asciiTheme="minorHAnsi" w:hAnsiTheme="minorHAnsi" w:cs="Arial"/>
          <w:color w:val="000000"/>
          <w:sz w:val="22"/>
          <w:szCs w:val="22"/>
        </w:rPr>
      </w:pPr>
      <w:r w:rsidRPr="008E41E6">
        <w:rPr>
          <w:rFonts w:asciiTheme="minorHAnsi" w:hAnsiTheme="minorHAnsi" w:cs="Arial"/>
          <w:color w:val="000000"/>
          <w:sz w:val="22"/>
          <w:szCs w:val="22"/>
        </w:rPr>
        <w:t>Once calculated the manual adjustments are imported back into the main model to adjust the business unit cost allocations to better reflect the underlying cost drivers.</w:t>
      </w:r>
    </w:p>
    <w:p w14:paraId="4884E044" w14:textId="77777777" w:rsidR="007D1218" w:rsidRPr="008E41E6" w:rsidRDefault="007D1218" w:rsidP="009C3ABF">
      <w:pPr>
        <w:pStyle w:val="ListParagraph"/>
        <w:numPr>
          <w:ilvl w:val="1"/>
          <w:numId w:val="5"/>
        </w:numPr>
        <w:ind w:left="567" w:hanging="567"/>
        <w:rPr>
          <w:rFonts w:asciiTheme="minorHAnsi" w:hAnsiTheme="minorHAnsi" w:cs="Arial"/>
          <w:color w:val="000000"/>
          <w:sz w:val="22"/>
          <w:szCs w:val="22"/>
        </w:rPr>
      </w:pPr>
      <w:bookmarkStart w:id="19" w:name="_Toc356995378"/>
      <w:r w:rsidRPr="008E41E6">
        <w:rPr>
          <w:rFonts w:asciiTheme="minorHAnsi" w:hAnsiTheme="minorHAnsi" w:cs="Arial"/>
          <w:color w:val="000000"/>
          <w:sz w:val="22"/>
          <w:szCs w:val="22"/>
        </w:rPr>
        <w:lastRenderedPageBreak/>
        <w:t>The table below lists the manual adjustments made and outlines the source of information and methodology behind each adjustment.</w:t>
      </w:r>
    </w:p>
    <w:p w14:paraId="2C9C6A8B" w14:textId="77777777" w:rsidR="007D1218" w:rsidRPr="0091297D" w:rsidRDefault="007D1218" w:rsidP="007D1218">
      <w:pPr>
        <w:pStyle w:val="ListParagraph"/>
        <w:rPr>
          <w:rFonts w:asciiTheme="minorHAnsi" w:hAnsiTheme="minorHAnsi" w:cs="Arial"/>
          <w:color w:val="000000"/>
          <w:sz w:val="22"/>
          <w:szCs w:val="22"/>
          <w:highlight w:val="yellow"/>
        </w:rPr>
      </w:pPr>
    </w:p>
    <w:tbl>
      <w:tblPr>
        <w:tblW w:w="83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261"/>
        <w:gridCol w:w="5501"/>
      </w:tblGrid>
      <w:tr w:rsidR="007D1218" w:rsidRPr="0091297D" w14:paraId="19C5372E" w14:textId="77777777" w:rsidTr="008B45DA">
        <w:trPr>
          <w:tblHeader/>
        </w:trPr>
        <w:tc>
          <w:tcPr>
            <w:tcW w:w="567" w:type="dxa"/>
            <w:shd w:val="clear" w:color="auto" w:fill="D5DCE4" w:themeFill="text2" w:themeFillTint="33"/>
          </w:tcPr>
          <w:p w14:paraId="07B0282C" w14:textId="77777777" w:rsidR="007D1218" w:rsidRPr="008E41E6" w:rsidRDefault="007D1218" w:rsidP="008B45DA">
            <w:pPr>
              <w:spacing w:before="120"/>
              <w:rPr>
                <w:rFonts w:cs="Arial"/>
                <w:b/>
                <w:sz w:val="20"/>
                <w:szCs w:val="20"/>
              </w:rPr>
            </w:pPr>
            <w:r w:rsidRPr="008E41E6">
              <w:rPr>
                <w:rFonts w:cs="Arial"/>
                <w:b/>
                <w:sz w:val="20"/>
                <w:szCs w:val="20"/>
              </w:rPr>
              <w:t>No.</w:t>
            </w:r>
          </w:p>
        </w:tc>
        <w:tc>
          <w:tcPr>
            <w:tcW w:w="2261" w:type="dxa"/>
            <w:shd w:val="clear" w:color="auto" w:fill="D5DCE4" w:themeFill="text2" w:themeFillTint="33"/>
          </w:tcPr>
          <w:p w14:paraId="0C01D304" w14:textId="77777777" w:rsidR="007D1218" w:rsidRPr="008E41E6" w:rsidRDefault="007D1218" w:rsidP="008B45DA">
            <w:pPr>
              <w:spacing w:before="120"/>
              <w:rPr>
                <w:rFonts w:cs="Arial"/>
                <w:b/>
                <w:sz w:val="20"/>
                <w:szCs w:val="20"/>
              </w:rPr>
            </w:pPr>
            <w:r w:rsidRPr="008E41E6">
              <w:rPr>
                <w:rFonts w:cs="Arial"/>
                <w:b/>
                <w:sz w:val="20"/>
                <w:szCs w:val="20"/>
              </w:rPr>
              <w:t>Adjustment</w:t>
            </w:r>
          </w:p>
        </w:tc>
        <w:tc>
          <w:tcPr>
            <w:tcW w:w="5501" w:type="dxa"/>
            <w:shd w:val="clear" w:color="auto" w:fill="D5DCE4" w:themeFill="text2" w:themeFillTint="33"/>
          </w:tcPr>
          <w:p w14:paraId="3D08E851" w14:textId="77777777" w:rsidR="007D1218" w:rsidRPr="008E41E6" w:rsidRDefault="007D1218" w:rsidP="008B45DA">
            <w:pPr>
              <w:spacing w:before="120"/>
              <w:rPr>
                <w:rFonts w:cs="Arial"/>
                <w:b/>
                <w:sz w:val="20"/>
                <w:szCs w:val="20"/>
              </w:rPr>
            </w:pPr>
            <w:r w:rsidRPr="008E41E6">
              <w:rPr>
                <w:rFonts w:cs="Arial"/>
                <w:b/>
                <w:sz w:val="20"/>
                <w:szCs w:val="20"/>
              </w:rPr>
              <w:t>Information source and methodology</w:t>
            </w:r>
          </w:p>
        </w:tc>
      </w:tr>
      <w:tr w:rsidR="007D1218" w:rsidRPr="0091297D" w14:paraId="44F9E28C" w14:textId="77777777" w:rsidTr="008B45DA">
        <w:tc>
          <w:tcPr>
            <w:tcW w:w="567" w:type="dxa"/>
          </w:tcPr>
          <w:p w14:paraId="3DE2ABB0" w14:textId="77777777" w:rsidR="007D1218" w:rsidRPr="008E41E6" w:rsidRDefault="007D1218" w:rsidP="008B45DA">
            <w:pPr>
              <w:spacing w:before="120" w:after="120"/>
              <w:rPr>
                <w:color w:val="000000"/>
                <w:sz w:val="20"/>
                <w:szCs w:val="20"/>
              </w:rPr>
            </w:pPr>
            <w:r w:rsidRPr="008E41E6">
              <w:rPr>
                <w:color w:val="000000"/>
                <w:sz w:val="20"/>
                <w:szCs w:val="20"/>
              </w:rPr>
              <w:t>1</w:t>
            </w:r>
          </w:p>
        </w:tc>
        <w:tc>
          <w:tcPr>
            <w:tcW w:w="2261" w:type="dxa"/>
          </w:tcPr>
          <w:p w14:paraId="3BE15FD2" w14:textId="77777777" w:rsidR="007D1218" w:rsidRPr="008E41E6" w:rsidRDefault="007D1218" w:rsidP="008B45DA">
            <w:pPr>
              <w:spacing w:before="120" w:after="120"/>
              <w:rPr>
                <w:rFonts w:cs="Arial"/>
                <w:color w:val="000000"/>
                <w:sz w:val="20"/>
                <w:szCs w:val="20"/>
              </w:rPr>
            </w:pPr>
            <w:r w:rsidRPr="008E41E6">
              <w:rPr>
                <w:color w:val="000000"/>
                <w:sz w:val="20"/>
                <w:szCs w:val="20"/>
              </w:rPr>
              <w:t>Re-allocation of Chemical costs from Sewage Treatment to Sludge Treatment</w:t>
            </w:r>
          </w:p>
        </w:tc>
        <w:tc>
          <w:tcPr>
            <w:tcW w:w="5501" w:type="dxa"/>
          </w:tcPr>
          <w:p w14:paraId="5025CFCF" w14:textId="77777777" w:rsidR="007D1218" w:rsidRPr="0077369E" w:rsidRDefault="007D1218" w:rsidP="008B45DA">
            <w:pPr>
              <w:spacing w:before="120"/>
              <w:rPr>
                <w:rFonts w:cs="Arial"/>
                <w:sz w:val="20"/>
                <w:szCs w:val="20"/>
              </w:rPr>
            </w:pPr>
            <w:r w:rsidRPr="0077369E">
              <w:rPr>
                <w:rFonts w:cs="Arial"/>
                <w:sz w:val="20"/>
                <w:szCs w:val="20"/>
              </w:rPr>
              <w:t>Chemical costs are captured by cost centre and therefore chemical spend at Sludge Treatment Centre (“STCs”) is allocated directly to the Sewage Treatment business unit.</w:t>
            </w:r>
          </w:p>
          <w:p w14:paraId="55A20DD7" w14:textId="77777777" w:rsidR="007D1218" w:rsidRPr="0091297D" w:rsidRDefault="007D1218" w:rsidP="008B45DA">
            <w:pPr>
              <w:spacing w:before="120"/>
              <w:rPr>
                <w:rFonts w:cs="Arial"/>
                <w:sz w:val="20"/>
                <w:szCs w:val="20"/>
                <w:highlight w:val="yellow"/>
              </w:rPr>
            </w:pPr>
            <w:r w:rsidRPr="0077369E">
              <w:rPr>
                <w:rFonts w:cs="Arial"/>
                <w:sz w:val="20"/>
                <w:szCs w:val="20"/>
              </w:rPr>
              <w:t xml:space="preserve">A reallocation of chemical cost in completed using purchasing information abstracted from </w:t>
            </w:r>
            <w:proofErr w:type="spellStart"/>
            <w:r w:rsidRPr="0077369E">
              <w:rPr>
                <w:rFonts w:cs="Arial"/>
                <w:sz w:val="20"/>
                <w:szCs w:val="20"/>
              </w:rPr>
              <w:t>ChemBase</w:t>
            </w:r>
            <w:proofErr w:type="spellEnd"/>
            <w:r w:rsidRPr="0077369E">
              <w:rPr>
                <w:rFonts w:cs="Arial"/>
                <w:sz w:val="20"/>
                <w:szCs w:val="20"/>
              </w:rPr>
              <w:t>.</w:t>
            </w:r>
          </w:p>
        </w:tc>
      </w:tr>
      <w:tr w:rsidR="007D1218" w:rsidRPr="0091297D" w14:paraId="21F6E294" w14:textId="77777777" w:rsidTr="008B45DA">
        <w:tc>
          <w:tcPr>
            <w:tcW w:w="567" w:type="dxa"/>
          </w:tcPr>
          <w:p w14:paraId="4174EED9" w14:textId="77777777" w:rsidR="007D1218" w:rsidRPr="0077369E" w:rsidRDefault="007D1218" w:rsidP="008B45DA">
            <w:pPr>
              <w:spacing w:before="120" w:after="120"/>
              <w:rPr>
                <w:color w:val="000000"/>
                <w:sz w:val="20"/>
                <w:szCs w:val="20"/>
              </w:rPr>
            </w:pPr>
            <w:r w:rsidRPr="0077369E">
              <w:rPr>
                <w:color w:val="000000"/>
                <w:sz w:val="20"/>
                <w:szCs w:val="20"/>
              </w:rPr>
              <w:t>2</w:t>
            </w:r>
          </w:p>
        </w:tc>
        <w:tc>
          <w:tcPr>
            <w:tcW w:w="2261" w:type="dxa"/>
          </w:tcPr>
          <w:p w14:paraId="3DFBDA71" w14:textId="77777777" w:rsidR="007D1218" w:rsidRPr="0077369E" w:rsidRDefault="007D1218" w:rsidP="008B45DA">
            <w:pPr>
              <w:spacing w:before="120" w:after="120"/>
              <w:rPr>
                <w:rFonts w:cs="Arial"/>
                <w:color w:val="000000"/>
                <w:sz w:val="20"/>
                <w:szCs w:val="20"/>
              </w:rPr>
            </w:pPr>
            <w:r w:rsidRPr="0077369E">
              <w:rPr>
                <w:color w:val="000000"/>
                <w:sz w:val="20"/>
                <w:szCs w:val="20"/>
              </w:rPr>
              <w:t>Re-allocation of Maintenance costs from Sewage Treatment to Sludge Treatment</w:t>
            </w:r>
          </w:p>
        </w:tc>
        <w:tc>
          <w:tcPr>
            <w:tcW w:w="5501" w:type="dxa"/>
          </w:tcPr>
          <w:p w14:paraId="01F7F234" w14:textId="77777777" w:rsidR="007D1218" w:rsidRPr="0077369E" w:rsidRDefault="007D1218" w:rsidP="008B45DA">
            <w:pPr>
              <w:spacing w:before="120"/>
              <w:rPr>
                <w:rFonts w:cs="Arial"/>
                <w:sz w:val="20"/>
                <w:szCs w:val="20"/>
              </w:rPr>
            </w:pPr>
            <w:r w:rsidRPr="0077369E">
              <w:rPr>
                <w:rFonts w:cs="Arial"/>
                <w:sz w:val="20"/>
                <w:szCs w:val="20"/>
              </w:rPr>
              <w:t>Maintenance costs are captured by location and, based on the cost centre allocated directly to Sewage Treatment at the STCs.</w:t>
            </w:r>
          </w:p>
          <w:p w14:paraId="20135D81" w14:textId="77777777" w:rsidR="007D1218" w:rsidRPr="0077369E" w:rsidRDefault="007D1218" w:rsidP="008B45DA">
            <w:pPr>
              <w:spacing w:before="120"/>
              <w:rPr>
                <w:rFonts w:cs="Arial"/>
                <w:sz w:val="20"/>
                <w:szCs w:val="20"/>
              </w:rPr>
            </w:pPr>
            <w:r w:rsidRPr="0077369E">
              <w:rPr>
                <w:rFonts w:cs="Arial"/>
                <w:sz w:val="20"/>
                <w:szCs w:val="20"/>
              </w:rPr>
              <w:t>Using the equipment number this adjustment re-allocates the maintenance cost of Sludge Treatment equipment from Sewage Treatment to Sludge Treatment.</w:t>
            </w:r>
          </w:p>
        </w:tc>
      </w:tr>
      <w:tr w:rsidR="007D1218" w:rsidRPr="0091297D" w14:paraId="6F7C094F" w14:textId="77777777" w:rsidTr="008B45DA">
        <w:tc>
          <w:tcPr>
            <w:tcW w:w="567" w:type="dxa"/>
          </w:tcPr>
          <w:p w14:paraId="175F018A" w14:textId="77777777" w:rsidR="007D1218" w:rsidRPr="0077369E" w:rsidRDefault="007D1218" w:rsidP="008B45DA">
            <w:pPr>
              <w:spacing w:before="120" w:after="120"/>
              <w:rPr>
                <w:color w:val="000000"/>
                <w:sz w:val="20"/>
                <w:szCs w:val="20"/>
              </w:rPr>
            </w:pPr>
            <w:r w:rsidRPr="0077369E">
              <w:rPr>
                <w:color w:val="000000"/>
                <w:sz w:val="20"/>
                <w:szCs w:val="20"/>
              </w:rPr>
              <w:t>3</w:t>
            </w:r>
          </w:p>
        </w:tc>
        <w:tc>
          <w:tcPr>
            <w:tcW w:w="2261" w:type="dxa"/>
          </w:tcPr>
          <w:p w14:paraId="32CAC055" w14:textId="77777777" w:rsidR="007D1218" w:rsidRPr="0077369E" w:rsidRDefault="007D1218" w:rsidP="008B45DA">
            <w:pPr>
              <w:spacing w:before="120" w:after="120"/>
              <w:rPr>
                <w:rFonts w:cs="Arial"/>
                <w:color w:val="000000"/>
                <w:sz w:val="20"/>
                <w:szCs w:val="20"/>
              </w:rPr>
            </w:pPr>
            <w:r w:rsidRPr="0077369E">
              <w:rPr>
                <w:color w:val="000000"/>
                <w:sz w:val="20"/>
                <w:szCs w:val="20"/>
              </w:rPr>
              <w:t>Re-allocation of Manpower costs from Sewage Treatment to Sludge Treatment</w:t>
            </w:r>
          </w:p>
        </w:tc>
        <w:tc>
          <w:tcPr>
            <w:tcW w:w="5501" w:type="dxa"/>
          </w:tcPr>
          <w:p w14:paraId="2741555F" w14:textId="77777777" w:rsidR="007D1218" w:rsidRPr="0077369E" w:rsidRDefault="007D1218" w:rsidP="008B45DA">
            <w:pPr>
              <w:spacing w:before="120"/>
              <w:rPr>
                <w:rFonts w:cs="Arial"/>
                <w:sz w:val="20"/>
                <w:szCs w:val="20"/>
              </w:rPr>
            </w:pPr>
            <w:r w:rsidRPr="0077369E">
              <w:rPr>
                <w:rFonts w:cs="Arial"/>
                <w:sz w:val="20"/>
                <w:szCs w:val="20"/>
              </w:rPr>
              <w:t>Manpower costs are captured by cost centre and therefore the allocation of manpower costs at STCs is allocated directly to Sewage Treatment.</w:t>
            </w:r>
          </w:p>
          <w:p w14:paraId="1074E4D9" w14:textId="77777777" w:rsidR="007D1218" w:rsidRPr="0077369E" w:rsidRDefault="007D1218" w:rsidP="008B45DA">
            <w:pPr>
              <w:spacing w:before="120"/>
              <w:rPr>
                <w:rFonts w:cs="Arial"/>
                <w:sz w:val="20"/>
                <w:szCs w:val="20"/>
              </w:rPr>
            </w:pPr>
            <w:r w:rsidRPr="0077369E">
              <w:rPr>
                <w:rFonts w:cs="Arial"/>
                <w:sz w:val="20"/>
                <w:szCs w:val="20"/>
              </w:rPr>
              <w:t>Man-hour allocations between Sewage Treatment and Sludge Treatment are used to re-allocate manpower costs from Sewage Treatment to Sludge Treatment.</w:t>
            </w:r>
          </w:p>
        </w:tc>
      </w:tr>
      <w:tr w:rsidR="007D1218" w:rsidRPr="0091297D" w14:paraId="4F934A08" w14:textId="77777777" w:rsidTr="008B45DA">
        <w:tc>
          <w:tcPr>
            <w:tcW w:w="567" w:type="dxa"/>
            <w:tcBorders>
              <w:bottom w:val="single" w:sz="4" w:space="0" w:color="auto"/>
            </w:tcBorders>
          </w:tcPr>
          <w:p w14:paraId="047E098C" w14:textId="77777777" w:rsidR="007D1218" w:rsidRPr="0077369E" w:rsidRDefault="007D1218" w:rsidP="008B45DA">
            <w:pPr>
              <w:spacing w:before="120" w:after="120"/>
              <w:rPr>
                <w:color w:val="000000"/>
                <w:sz w:val="20"/>
                <w:szCs w:val="20"/>
              </w:rPr>
            </w:pPr>
            <w:r w:rsidRPr="0077369E">
              <w:rPr>
                <w:color w:val="000000"/>
                <w:sz w:val="20"/>
                <w:szCs w:val="20"/>
              </w:rPr>
              <w:t>4</w:t>
            </w:r>
          </w:p>
        </w:tc>
        <w:tc>
          <w:tcPr>
            <w:tcW w:w="2261" w:type="dxa"/>
            <w:tcBorders>
              <w:bottom w:val="single" w:sz="4" w:space="0" w:color="auto"/>
            </w:tcBorders>
          </w:tcPr>
          <w:p w14:paraId="7240FE6C" w14:textId="77777777" w:rsidR="007D1218" w:rsidRPr="0077369E" w:rsidRDefault="007D1218" w:rsidP="008B45DA">
            <w:pPr>
              <w:spacing w:before="120" w:after="120"/>
              <w:rPr>
                <w:rFonts w:cs="Arial"/>
                <w:color w:val="000000"/>
                <w:sz w:val="20"/>
                <w:szCs w:val="20"/>
              </w:rPr>
            </w:pPr>
            <w:r w:rsidRPr="0077369E">
              <w:rPr>
                <w:color w:val="000000"/>
                <w:sz w:val="20"/>
                <w:szCs w:val="20"/>
              </w:rPr>
              <w:t>Re-allocation of Power from Sewage Treatment to Sludge Treatment</w:t>
            </w:r>
          </w:p>
        </w:tc>
        <w:tc>
          <w:tcPr>
            <w:tcW w:w="5501" w:type="dxa"/>
            <w:tcBorders>
              <w:bottom w:val="single" w:sz="4" w:space="0" w:color="auto"/>
            </w:tcBorders>
          </w:tcPr>
          <w:p w14:paraId="426D68C6" w14:textId="77777777" w:rsidR="007D1218" w:rsidRPr="0077369E" w:rsidRDefault="007D1218" w:rsidP="008B45DA">
            <w:pPr>
              <w:spacing w:before="120"/>
              <w:rPr>
                <w:rFonts w:cs="Arial"/>
                <w:sz w:val="20"/>
                <w:szCs w:val="20"/>
              </w:rPr>
            </w:pPr>
            <w:r w:rsidRPr="0077369E">
              <w:rPr>
                <w:rFonts w:cs="Arial"/>
                <w:sz w:val="20"/>
                <w:szCs w:val="20"/>
              </w:rPr>
              <w:t>Power costs are captured by cost centre and therefore spend at STC’s is allocated directly to Sewage Treatment.</w:t>
            </w:r>
          </w:p>
          <w:p w14:paraId="7A59515D" w14:textId="77777777" w:rsidR="007D1218" w:rsidRPr="0077369E" w:rsidRDefault="007D1218" w:rsidP="008B45DA">
            <w:pPr>
              <w:spacing w:before="120"/>
              <w:rPr>
                <w:rFonts w:cs="Arial"/>
                <w:sz w:val="20"/>
                <w:szCs w:val="20"/>
              </w:rPr>
            </w:pPr>
            <w:r w:rsidRPr="0077369E">
              <w:rPr>
                <w:rFonts w:cs="Arial"/>
                <w:sz w:val="20"/>
                <w:szCs w:val="20"/>
              </w:rPr>
              <w:t>Costs are reallocated to sludge treatment based on asset information collated by operation</w:t>
            </w:r>
            <w:r>
              <w:rPr>
                <w:rFonts w:cs="Arial"/>
                <w:sz w:val="20"/>
                <w:szCs w:val="20"/>
              </w:rPr>
              <w:t>al</w:t>
            </w:r>
            <w:r w:rsidRPr="0077369E">
              <w:rPr>
                <w:rFonts w:cs="Arial"/>
                <w:sz w:val="20"/>
                <w:szCs w:val="20"/>
              </w:rPr>
              <w:t xml:space="preserve"> experts and power assessments performed by the SWW</w:t>
            </w:r>
            <w:r>
              <w:rPr>
                <w:rFonts w:cs="Arial"/>
                <w:sz w:val="20"/>
                <w:szCs w:val="20"/>
              </w:rPr>
              <w:t xml:space="preserve"> energy</w:t>
            </w:r>
            <w:r w:rsidRPr="0077369E">
              <w:rPr>
                <w:rFonts w:cs="Arial"/>
                <w:sz w:val="20"/>
                <w:szCs w:val="20"/>
              </w:rPr>
              <w:t xml:space="preserve"> team.</w:t>
            </w:r>
          </w:p>
        </w:tc>
      </w:tr>
      <w:tr w:rsidR="007D1218" w:rsidRPr="0091297D" w14:paraId="31D0CC60" w14:textId="77777777" w:rsidTr="008B45DA">
        <w:tc>
          <w:tcPr>
            <w:tcW w:w="567" w:type="dxa"/>
            <w:tcBorders>
              <w:top w:val="nil"/>
            </w:tcBorders>
          </w:tcPr>
          <w:p w14:paraId="608BE873" w14:textId="77777777" w:rsidR="007D1218" w:rsidRPr="0077369E" w:rsidRDefault="007D1218" w:rsidP="008B45DA">
            <w:pPr>
              <w:spacing w:before="120" w:after="120"/>
              <w:rPr>
                <w:color w:val="000000"/>
                <w:sz w:val="20"/>
                <w:szCs w:val="20"/>
              </w:rPr>
            </w:pPr>
            <w:r w:rsidRPr="0077369E">
              <w:rPr>
                <w:color w:val="000000"/>
                <w:sz w:val="20"/>
                <w:szCs w:val="20"/>
              </w:rPr>
              <w:t>5</w:t>
            </w:r>
          </w:p>
        </w:tc>
        <w:tc>
          <w:tcPr>
            <w:tcW w:w="2261" w:type="dxa"/>
            <w:tcBorders>
              <w:top w:val="nil"/>
            </w:tcBorders>
          </w:tcPr>
          <w:p w14:paraId="726171EB" w14:textId="77777777" w:rsidR="007D1218" w:rsidRPr="0077369E" w:rsidRDefault="007D1218" w:rsidP="008B45DA">
            <w:pPr>
              <w:spacing w:before="120" w:after="120"/>
              <w:rPr>
                <w:rFonts w:cs="Arial"/>
                <w:color w:val="000000"/>
                <w:sz w:val="20"/>
                <w:szCs w:val="20"/>
              </w:rPr>
            </w:pPr>
            <w:r w:rsidRPr="0077369E">
              <w:rPr>
                <w:color w:val="000000"/>
                <w:sz w:val="20"/>
                <w:szCs w:val="20"/>
              </w:rPr>
              <w:t>Re-allocation of other costs from Sewage Treatment to Sludge Treatment</w:t>
            </w:r>
          </w:p>
        </w:tc>
        <w:tc>
          <w:tcPr>
            <w:tcW w:w="5501" w:type="dxa"/>
            <w:tcBorders>
              <w:top w:val="nil"/>
            </w:tcBorders>
          </w:tcPr>
          <w:p w14:paraId="1F5C4506" w14:textId="77777777" w:rsidR="007D1218" w:rsidRPr="0077369E" w:rsidRDefault="007D1218" w:rsidP="008B45DA">
            <w:pPr>
              <w:spacing w:before="120"/>
              <w:rPr>
                <w:rFonts w:cs="Arial"/>
                <w:sz w:val="20"/>
                <w:szCs w:val="20"/>
              </w:rPr>
            </w:pPr>
            <w:r w:rsidRPr="0077369E">
              <w:rPr>
                <w:rFonts w:cs="Arial"/>
                <w:sz w:val="20"/>
                <w:szCs w:val="20"/>
              </w:rPr>
              <w:t>This adjustment is to re-allocate other costs allocated directly to Sewage Treatment to Sludge Treatment that have not been re-allocated by the adjustments above.</w:t>
            </w:r>
          </w:p>
        </w:tc>
      </w:tr>
      <w:tr w:rsidR="007D1218" w:rsidRPr="0091297D" w14:paraId="542ACBF0" w14:textId="77777777" w:rsidTr="008B45DA">
        <w:tc>
          <w:tcPr>
            <w:tcW w:w="567" w:type="dxa"/>
          </w:tcPr>
          <w:p w14:paraId="323D4682" w14:textId="77777777" w:rsidR="007D1218" w:rsidRPr="0077369E" w:rsidRDefault="007D1218" w:rsidP="008B45DA">
            <w:pPr>
              <w:spacing w:before="120" w:after="120"/>
              <w:rPr>
                <w:color w:val="000000"/>
                <w:sz w:val="20"/>
                <w:szCs w:val="20"/>
              </w:rPr>
            </w:pPr>
            <w:r w:rsidRPr="0077369E">
              <w:rPr>
                <w:color w:val="000000"/>
                <w:sz w:val="20"/>
                <w:szCs w:val="20"/>
              </w:rPr>
              <w:t>6</w:t>
            </w:r>
          </w:p>
        </w:tc>
        <w:tc>
          <w:tcPr>
            <w:tcW w:w="2261" w:type="dxa"/>
          </w:tcPr>
          <w:p w14:paraId="73C6B593" w14:textId="77777777" w:rsidR="007D1218" w:rsidRPr="0077369E" w:rsidRDefault="007D1218" w:rsidP="008B45DA">
            <w:pPr>
              <w:spacing w:before="120" w:after="120"/>
              <w:rPr>
                <w:rFonts w:cs="Arial"/>
                <w:color w:val="000000"/>
                <w:sz w:val="20"/>
                <w:szCs w:val="20"/>
              </w:rPr>
            </w:pPr>
            <w:r w:rsidRPr="0077369E">
              <w:rPr>
                <w:color w:val="000000"/>
                <w:sz w:val="20"/>
                <w:szCs w:val="20"/>
              </w:rPr>
              <w:t xml:space="preserve">Calculation of </w:t>
            </w:r>
            <w:r>
              <w:rPr>
                <w:color w:val="000000"/>
                <w:sz w:val="20"/>
                <w:szCs w:val="20"/>
              </w:rPr>
              <w:t>imported sludge</w:t>
            </w:r>
            <w:r w:rsidRPr="0077369E">
              <w:rPr>
                <w:color w:val="000000"/>
                <w:sz w:val="20"/>
                <w:szCs w:val="20"/>
              </w:rPr>
              <w:t xml:space="preserve"> liquor costs.</w:t>
            </w:r>
          </w:p>
        </w:tc>
        <w:tc>
          <w:tcPr>
            <w:tcW w:w="5501" w:type="dxa"/>
          </w:tcPr>
          <w:p w14:paraId="2930CC21" w14:textId="77777777" w:rsidR="007D1218" w:rsidRPr="00C712B5" w:rsidRDefault="007D1218" w:rsidP="008B45DA">
            <w:pPr>
              <w:spacing w:before="120"/>
              <w:rPr>
                <w:rFonts w:cs="Arial"/>
                <w:sz w:val="20"/>
                <w:szCs w:val="20"/>
              </w:rPr>
            </w:pPr>
            <w:r w:rsidRPr="00C712B5">
              <w:rPr>
                <w:rFonts w:cs="Arial"/>
                <w:sz w:val="20"/>
                <w:szCs w:val="20"/>
              </w:rPr>
              <w:t xml:space="preserve">Under the revised RAGs the costs of treating liquor returned from the sludge treatment process are to be reported separately.  </w:t>
            </w:r>
          </w:p>
          <w:p w14:paraId="5013CE0D" w14:textId="77777777" w:rsidR="007D1218" w:rsidRPr="00C712B5" w:rsidRDefault="007D1218" w:rsidP="008B45DA">
            <w:pPr>
              <w:spacing w:before="120"/>
              <w:rPr>
                <w:rFonts w:cs="Arial"/>
                <w:sz w:val="20"/>
                <w:szCs w:val="20"/>
              </w:rPr>
            </w:pPr>
            <w:r w:rsidRPr="00C712B5">
              <w:rPr>
                <w:rFonts w:cs="Arial"/>
                <w:sz w:val="20"/>
                <w:szCs w:val="20"/>
              </w:rPr>
              <w:t xml:space="preserve">Treating return liquor requires additional oxygen to be pumped into the treatment process </w:t>
            </w:r>
            <w:proofErr w:type="gramStart"/>
            <w:r w:rsidRPr="00C712B5">
              <w:rPr>
                <w:rFonts w:cs="Arial"/>
                <w:sz w:val="20"/>
                <w:szCs w:val="20"/>
              </w:rPr>
              <w:t>as a result of</w:t>
            </w:r>
            <w:proofErr w:type="gramEnd"/>
            <w:r w:rsidRPr="00C712B5">
              <w:rPr>
                <w:rFonts w:cs="Arial"/>
                <w:sz w:val="20"/>
                <w:szCs w:val="20"/>
              </w:rPr>
              <w:t xml:space="preserve"> the high Biological Oxygen Demand (BOD) of the liquor.  This adjustment therefore re-allocates power costs based on the ratio of BOD treated.</w:t>
            </w:r>
          </w:p>
          <w:p w14:paraId="22D4AE2D" w14:textId="77777777" w:rsidR="007D1218" w:rsidRPr="0091297D" w:rsidRDefault="007D1218" w:rsidP="008B45DA">
            <w:pPr>
              <w:spacing w:before="120"/>
              <w:rPr>
                <w:rFonts w:cs="Arial"/>
                <w:sz w:val="20"/>
                <w:szCs w:val="20"/>
                <w:highlight w:val="yellow"/>
              </w:rPr>
            </w:pPr>
            <w:r w:rsidRPr="00C712B5">
              <w:rPr>
                <w:rFonts w:cs="Arial"/>
                <w:sz w:val="20"/>
                <w:szCs w:val="20"/>
              </w:rPr>
              <w:t>We have also included an element of Maintenance costs by looking at secondary and tertiary equipment maintenance spend and using the BOD % on those sites to apportion the maintenance costs to sludge liquor treatment.</w:t>
            </w:r>
          </w:p>
        </w:tc>
      </w:tr>
      <w:tr w:rsidR="007D1218" w:rsidRPr="0091297D" w14:paraId="2762B6D1" w14:textId="77777777" w:rsidTr="008B45DA">
        <w:tc>
          <w:tcPr>
            <w:tcW w:w="567" w:type="dxa"/>
          </w:tcPr>
          <w:p w14:paraId="08DE9CFE" w14:textId="77777777" w:rsidR="007D1218" w:rsidRPr="00B52BC5" w:rsidRDefault="007D1218" w:rsidP="008B45DA">
            <w:pPr>
              <w:spacing w:before="120" w:after="120"/>
              <w:rPr>
                <w:color w:val="000000"/>
                <w:sz w:val="20"/>
                <w:szCs w:val="20"/>
              </w:rPr>
            </w:pPr>
            <w:r w:rsidRPr="00B52BC5">
              <w:rPr>
                <w:color w:val="000000"/>
                <w:sz w:val="20"/>
                <w:szCs w:val="20"/>
              </w:rPr>
              <w:lastRenderedPageBreak/>
              <w:t>8</w:t>
            </w:r>
          </w:p>
        </w:tc>
        <w:tc>
          <w:tcPr>
            <w:tcW w:w="2261" w:type="dxa"/>
          </w:tcPr>
          <w:p w14:paraId="5F3977D7" w14:textId="77777777" w:rsidR="007D1218" w:rsidRPr="00B52BC5" w:rsidRDefault="007D1218" w:rsidP="008B45DA">
            <w:pPr>
              <w:spacing w:before="120" w:after="120"/>
              <w:rPr>
                <w:rFonts w:cs="Arial"/>
                <w:color w:val="000000"/>
                <w:sz w:val="20"/>
                <w:szCs w:val="20"/>
              </w:rPr>
            </w:pPr>
            <w:r w:rsidRPr="00B52BC5">
              <w:rPr>
                <w:color w:val="000000"/>
                <w:sz w:val="20"/>
                <w:szCs w:val="20"/>
              </w:rPr>
              <w:t>Re-allocation of power and operating costs from to sludge treatment to water treatment</w:t>
            </w:r>
          </w:p>
        </w:tc>
        <w:tc>
          <w:tcPr>
            <w:tcW w:w="5501" w:type="dxa"/>
          </w:tcPr>
          <w:p w14:paraId="3AB75C75" w14:textId="77777777" w:rsidR="007D1218" w:rsidRPr="00B52BC5" w:rsidRDefault="007D1218" w:rsidP="008B45DA">
            <w:pPr>
              <w:spacing w:before="120"/>
              <w:rPr>
                <w:rFonts w:cs="Arial"/>
                <w:sz w:val="20"/>
                <w:szCs w:val="20"/>
              </w:rPr>
            </w:pPr>
            <w:r w:rsidRPr="00B52BC5">
              <w:rPr>
                <w:rFonts w:cs="Arial"/>
                <w:sz w:val="20"/>
                <w:szCs w:val="20"/>
              </w:rPr>
              <w:t xml:space="preserve">The cost of treating all sludge is posted in the general ledger to sewage treatment site cost centres, which in turn are allocated between sewage and sludge treatment.  However, there is an element of </w:t>
            </w:r>
            <w:r>
              <w:rPr>
                <w:rFonts w:cs="Arial"/>
                <w:sz w:val="20"/>
                <w:szCs w:val="20"/>
              </w:rPr>
              <w:t xml:space="preserve">clean </w:t>
            </w:r>
            <w:r w:rsidRPr="00B52BC5">
              <w:rPr>
                <w:rFonts w:cs="Arial"/>
                <w:sz w:val="20"/>
                <w:szCs w:val="20"/>
              </w:rPr>
              <w:t xml:space="preserve">water sludge that is processed at sewage </w:t>
            </w:r>
            <w:r>
              <w:rPr>
                <w:rFonts w:cs="Arial"/>
                <w:sz w:val="20"/>
                <w:szCs w:val="20"/>
              </w:rPr>
              <w:t xml:space="preserve">treatment </w:t>
            </w:r>
            <w:r w:rsidRPr="00B52BC5">
              <w:rPr>
                <w:rFonts w:cs="Arial"/>
                <w:sz w:val="20"/>
                <w:szCs w:val="20"/>
              </w:rPr>
              <w:t>sites which requires allocating to water treatment.</w:t>
            </w:r>
          </w:p>
        </w:tc>
      </w:tr>
      <w:tr w:rsidR="007D1218" w:rsidRPr="0091297D" w14:paraId="2DBF8BED" w14:textId="77777777" w:rsidTr="008B45DA">
        <w:tc>
          <w:tcPr>
            <w:tcW w:w="567" w:type="dxa"/>
          </w:tcPr>
          <w:p w14:paraId="110C4041" w14:textId="77777777" w:rsidR="007D1218" w:rsidRPr="00B52BC5" w:rsidRDefault="007D1218" w:rsidP="008B45DA">
            <w:pPr>
              <w:spacing w:before="120" w:after="120"/>
              <w:rPr>
                <w:color w:val="000000"/>
                <w:sz w:val="20"/>
                <w:szCs w:val="20"/>
              </w:rPr>
            </w:pPr>
            <w:r w:rsidRPr="00B52BC5">
              <w:rPr>
                <w:color w:val="000000"/>
                <w:sz w:val="20"/>
                <w:szCs w:val="20"/>
              </w:rPr>
              <w:t>9</w:t>
            </w:r>
          </w:p>
        </w:tc>
        <w:tc>
          <w:tcPr>
            <w:tcW w:w="2261" w:type="dxa"/>
          </w:tcPr>
          <w:p w14:paraId="1E09A64D" w14:textId="77777777" w:rsidR="007D1218" w:rsidRPr="00B52BC5" w:rsidRDefault="007D1218" w:rsidP="008B45DA">
            <w:pPr>
              <w:spacing w:before="120" w:after="120"/>
              <w:rPr>
                <w:rFonts w:cs="Arial"/>
                <w:color w:val="000000"/>
                <w:sz w:val="20"/>
                <w:szCs w:val="20"/>
              </w:rPr>
            </w:pPr>
            <w:r w:rsidRPr="00B52BC5">
              <w:rPr>
                <w:color w:val="000000"/>
                <w:sz w:val="20"/>
                <w:szCs w:val="20"/>
              </w:rPr>
              <w:t xml:space="preserve">Allocation </w:t>
            </w:r>
            <w:proofErr w:type="gramStart"/>
            <w:r w:rsidRPr="00B52BC5">
              <w:rPr>
                <w:color w:val="000000"/>
                <w:sz w:val="20"/>
                <w:szCs w:val="20"/>
              </w:rPr>
              <w:t xml:space="preserve">of  </w:t>
            </w:r>
            <w:proofErr w:type="spellStart"/>
            <w:r w:rsidRPr="00B52BC5">
              <w:rPr>
                <w:color w:val="000000"/>
                <w:sz w:val="20"/>
                <w:szCs w:val="20"/>
              </w:rPr>
              <w:t>tankered</w:t>
            </w:r>
            <w:proofErr w:type="spellEnd"/>
            <w:proofErr w:type="gramEnd"/>
            <w:r w:rsidRPr="00B52BC5">
              <w:rPr>
                <w:color w:val="000000"/>
                <w:sz w:val="20"/>
                <w:szCs w:val="20"/>
              </w:rPr>
              <w:t xml:space="preserve"> waste costs to Non-appointed activities </w:t>
            </w:r>
          </w:p>
        </w:tc>
        <w:tc>
          <w:tcPr>
            <w:tcW w:w="5501" w:type="dxa"/>
          </w:tcPr>
          <w:p w14:paraId="733DA3A6" w14:textId="77777777" w:rsidR="007D1218" w:rsidRPr="00B52BC5" w:rsidRDefault="007D1218" w:rsidP="008B45DA">
            <w:pPr>
              <w:spacing w:before="120"/>
              <w:rPr>
                <w:rFonts w:cs="Arial"/>
                <w:sz w:val="20"/>
                <w:szCs w:val="20"/>
              </w:rPr>
            </w:pPr>
            <w:r w:rsidRPr="00B52BC5">
              <w:rPr>
                <w:rFonts w:cs="Arial"/>
                <w:sz w:val="20"/>
                <w:szCs w:val="20"/>
              </w:rPr>
              <w:t xml:space="preserve">The treatment of </w:t>
            </w:r>
            <w:proofErr w:type="spellStart"/>
            <w:r w:rsidRPr="00B52BC5">
              <w:rPr>
                <w:rFonts w:cs="Arial"/>
                <w:sz w:val="20"/>
                <w:szCs w:val="20"/>
              </w:rPr>
              <w:t>Tankered</w:t>
            </w:r>
            <w:proofErr w:type="spellEnd"/>
            <w:r w:rsidRPr="00B52BC5">
              <w:rPr>
                <w:rFonts w:cs="Arial"/>
                <w:sz w:val="20"/>
                <w:szCs w:val="20"/>
              </w:rPr>
              <w:t xml:space="preserve"> Waste is deemed to be a non-appointed activity.  The costs of treating </w:t>
            </w:r>
            <w:proofErr w:type="spellStart"/>
            <w:r w:rsidRPr="00B52BC5">
              <w:rPr>
                <w:rFonts w:cs="Arial"/>
                <w:sz w:val="20"/>
                <w:szCs w:val="20"/>
              </w:rPr>
              <w:t>tankered</w:t>
            </w:r>
            <w:proofErr w:type="spellEnd"/>
            <w:r w:rsidRPr="00B52BC5">
              <w:rPr>
                <w:rFonts w:cs="Arial"/>
                <w:sz w:val="20"/>
                <w:szCs w:val="20"/>
              </w:rPr>
              <w:t xml:space="preserve"> waste are captured within the Sewage Treatment and Sludge Treatment business units.</w:t>
            </w:r>
          </w:p>
          <w:p w14:paraId="1EBC02AE" w14:textId="77777777" w:rsidR="007D1218" w:rsidRPr="00B52BC5" w:rsidRDefault="007D1218" w:rsidP="008B45DA">
            <w:pPr>
              <w:spacing w:before="120"/>
              <w:rPr>
                <w:rFonts w:cs="Arial"/>
                <w:sz w:val="20"/>
                <w:szCs w:val="20"/>
              </w:rPr>
            </w:pPr>
            <w:r w:rsidRPr="00B52BC5">
              <w:rPr>
                <w:rFonts w:cs="Arial"/>
                <w:sz w:val="20"/>
                <w:szCs w:val="20"/>
              </w:rPr>
              <w:t xml:space="preserve">Removal of costs from waste water for inclusion with non-appointed activities is mainly based on the ratio of BOD of </w:t>
            </w:r>
            <w:proofErr w:type="spellStart"/>
            <w:r w:rsidRPr="00B52BC5">
              <w:rPr>
                <w:rFonts w:cs="Arial"/>
                <w:sz w:val="20"/>
                <w:szCs w:val="20"/>
              </w:rPr>
              <w:t>tankered</w:t>
            </w:r>
            <w:proofErr w:type="spellEnd"/>
            <w:r w:rsidRPr="00B52BC5">
              <w:rPr>
                <w:rFonts w:cs="Arial"/>
                <w:sz w:val="20"/>
                <w:szCs w:val="20"/>
              </w:rPr>
              <w:t xml:space="preserve"> waste to total BOD treated. We have also included </w:t>
            </w:r>
            <w:proofErr w:type="gramStart"/>
            <w:r w:rsidRPr="00B52BC5">
              <w:rPr>
                <w:rFonts w:cs="Arial"/>
                <w:sz w:val="20"/>
                <w:szCs w:val="20"/>
              </w:rPr>
              <w:t>all of</w:t>
            </w:r>
            <w:proofErr w:type="gramEnd"/>
            <w:r w:rsidRPr="00B52BC5">
              <w:rPr>
                <w:rFonts w:cs="Arial"/>
                <w:sz w:val="20"/>
                <w:szCs w:val="20"/>
              </w:rPr>
              <w:t xml:space="preserve"> the commercial team costs, cost of running the JRP system, licence fees, WW management time and training costs in running the technically competent manager programme, and a percentage of sales ledger’s time, based on the level of billing.</w:t>
            </w:r>
          </w:p>
        </w:tc>
      </w:tr>
      <w:tr w:rsidR="007D1218" w:rsidRPr="0091297D" w14:paraId="56B15FBC" w14:textId="77777777" w:rsidTr="008B45DA">
        <w:tc>
          <w:tcPr>
            <w:tcW w:w="567" w:type="dxa"/>
            <w:tcBorders>
              <w:bottom w:val="single" w:sz="4" w:space="0" w:color="auto"/>
            </w:tcBorders>
          </w:tcPr>
          <w:p w14:paraId="2867DE36" w14:textId="77777777" w:rsidR="007D1218" w:rsidRPr="00B52BC5" w:rsidRDefault="007D1218" w:rsidP="008B45DA">
            <w:pPr>
              <w:spacing w:before="120" w:after="120"/>
              <w:rPr>
                <w:color w:val="000000"/>
                <w:sz w:val="20"/>
                <w:szCs w:val="20"/>
              </w:rPr>
            </w:pPr>
          </w:p>
        </w:tc>
        <w:tc>
          <w:tcPr>
            <w:tcW w:w="2261" w:type="dxa"/>
            <w:tcBorders>
              <w:bottom w:val="single" w:sz="4" w:space="0" w:color="auto"/>
            </w:tcBorders>
          </w:tcPr>
          <w:p w14:paraId="33C492A9" w14:textId="77777777" w:rsidR="007D1218" w:rsidRPr="00B52BC5" w:rsidRDefault="007D1218" w:rsidP="008B45DA">
            <w:pPr>
              <w:spacing w:before="120" w:after="120"/>
              <w:rPr>
                <w:color w:val="000000"/>
                <w:sz w:val="20"/>
                <w:szCs w:val="20"/>
              </w:rPr>
            </w:pPr>
          </w:p>
        </w:tc>
        <w:tc>
          <w:tcPr>
            <w:tcW w:w="5501" w:type="dxa"/>
            <w:tcBorders>
              <w:bottom w:val="single" w:sz="4" w:space="0" w:color="auto"/>
            </w:tcBorders>
          </w:tcPr>
          <w:p w14:paraId="173B3D75" w14:textId="77777777" w:rsidR="007D1218" w:rsidRPr="00B52BC5" w:rsidRDefault="007D1218" w:rsidP="008B45DA">
            <w:pPr>
              <w:spacing w:before="120"/>
              <w:rPr>
                <w:rFonts w:cs="Arial"/>
                <w:sz w:val="20"/>
                <w:szCs w:val="20"/>
              </w:rPr>
            </w:pPr>
          </w:p>
        </w:tc>
      </w:tr>
    </w:tbl>
    <w:p w14:paraId="6DB28BE8" w14:textId="77777777" w:rsidR="007D1218" w:rsidRPr="00B04581" w:rsidRDefault="007D1218" w:rsidP="009C3ABF">
      <w:pPr>
        <w:pStyle w:val="ListParagraph"/>
        <w:numPr>
          <w:ilvl w:val="1"/>
          <w:numId w:val="5"/>
        </w:numPr>
        <w:ind w:left="567" w:hanging="567"/>
        <w:rPr>
          <w:rFonts w:asciiTheme="minorHAnsi" w:hAnsiTheme="minorHAnsi" w:cs="Arial"/>
          <w:color w:val="000000"/>
          <w:sz w:val="22"/>
          <w:szCs w:val="22"/>
        </w:rPr>
      </w:pPr>
      <w:r w:rsidRPr="00B04581">
        <w:rPr>
          <w:rFonts w:asciiTheme="minorHAnsi" w:hAnsiTheme="minorHAnsi" w:cs="Arial"/>
          <w:color w:val="000000"/>
          <w:sz w:val="22"/>
          <w:szCs w:val="22"/>
        </w:rPr>
        <w:t>The analysis of corporate and support costs specifically identifies any direct costs that can be directly attributable to wholesale business units.  Other non-direct corporate and support expenditure allocated to wholesale is included within other operating expenditure.</w:t>
      </w:r>
    </w:p>
    <w:p w14:paraId="75AE3099" w14:textId="77777777" w:rsidR="007D1218" w:rsidRPr="00B04581" w:rsidRDefault="007D1218" w:rsidP="007D1218">
      <w:pPr>
        <w:rPr>
          <w:rFonts w:cstheme="minorHAnsi"/>
          <w:b/>
          <w:szCs w:val="32"/>
        </w:rPr>
      </w:pPr>
      <w:r w:rsidRPr="0091297D">
        <w:rPr>
          <w:rFonts w:cs="Arial"/>
          <w:color w:val="000000"/>
          <w:highlight w:val="yellow"/>
        </w:rPr>
        <w:br w:type="page"/>
      </w:r>
      <w:bookmarkStart w:id="20" w:name="_Toc356995373"/>
      <w:bookmarkStart w:id="21" w:name="_Toc389044480"/>
      <w:r w:rsidRPr="00B04581">
        <w:rPr>
          <w:rFonts w:cstheme="minorHAnsi"/>
          <w:b/>
          <w:szCs w:val="32"/>
        </w:rPr>
        <w:lastRenderedPageBreak/>
        <w:t>Allocation of Clean Water Business Units to Services</w:t>
      </w:r>
    </w:p>
    <w:p w14:paraId="368B5E62" w14:textId="77777777" w:rsidR="007D1218" w:rsidRPr="00B04581" w:rsidRDefault="007D1218" w:rsidP="007D1218">
      <w:pPr>
        <w:pStyle w:val="ListParagraph"/>
        <w:rPr>
          <w:rFonts w:asciiTheme="minorHAnsi" w:hAnsiTheme="minorHAnsi" w:cstheme="minorHAnsi"/>
          <w:b/>
          <w:sz w:val="22"/>
          <w:szCs w:val="32"/>
        </w:rPr>
      </w:pPr>
    </w:p>
    <w:p w14:paraId="65ABC3AF" w14:textId="01D7DC3F" w:rsidR="007D1218" w:rsidRPr="009C3ABF" w:rsidRDefault="007D1218" w:rsidP="007D1218">
      <w:pPr>
        <w:rPr>
          <w:rFonts w:cstheme="minorHAnsi"/>
          <w:szCs w:val="32"/>
        </w:rPr>
      </w:pPr>
      <w:r w:rsidRPr="00B04581">
        <w:rPr>
          <w:rFonts w:cstheme="minorHAnsi"/>
        </w:rPr>
        <w:t>The</w:t>
      </w:r>
      <w:r w:rsidRPr="00B04581">
        <w:rPr>
          <w:rFonts w:cstheme="minorHAnsi"/>
          <w:b/>
          <w:szCs w:val="32"/>
        </w:rPr>
        <w:t xml:space="preserve"> </w:t>
      </w:r>
      <w:r w:rsidRPr="00B04581">
        <w:rPr>
          <w:rFonts w:cstheme="minorHAnsi"/>
          <w:szCs w:val="32"/>
        </w:rPr>
        <w:t xml:space="preserve">Clean Water Business Units break down into services as shown in section </w:t>
      </w:r>
      <w:proofErr w:type="gramStart"/>
      <w:r w:rsidRPr="00B04581">
        <w:rPr>
          <w:rFonts w:cstheme="minorHAnsi"/>
          <w:szCs w:val="32"/>
        </w:rPr>
        <w:t>6.3</w:t>
      </w:r>
      <w:proofErr w:type="gramEnd"/>
    </w:p>
    <w:p w14:paraId="097F040B" w14:textId="77777777" w:rsidR="007D1218" w:rsidRPr="00B04581" w:rsidRDefault="007D1218" w:rsidP="009C3ABF">
      <w:pPr>
        <w:pStyle w:val="ListParagraph"/>
        <w:numPr>
          <w:ilvl w:val="1"/>
          <w:numId w:val="5"/>
        </w:numPr>
        <w:tabs>
          <w:tab w:val="left" w:pos="915"/>
        </w:tabs>
        <w:ind w:left="567" w:hanging="567"/>
        <w:rPr>
          <w:rFonts w:asciiTheme="minorHAnsi" w:hAnsiTheme="minorHAnsi" w:cstheme="minorHAnsi"/>
          <w:b/>
          <w:sz w:val="22"/>
          <w:szCs w:val="32"/>
        </w:rPr>
      </w:pPr>
      <w:r w:rsidRPr="00B04581">
        <w:rPr>
          <w:rFonts w:asciiTheme="minorHAnsi" w:hAnsiTheme="minorHAnsi" w:cstheme="minorHAnsi"/>
          <w:b/>
          <w:sz w:val="22"/>
          <w:szCs w:val="32"/>
        </w:rPr>
        <w:t>Water Resources</w:t>
      </w:r>
    </w:p>
    <w:p w14:paraId="68CAC9F3" w14:textId="77777777" w:rsidR="007D1218" w:rsidRPr="00B04581" w:rsidRDefault="007D1218" w:rsidP="007D1218">
      <w:pPr>
        <w:rPr>
          <w:rFonts w:cstheme="minorHAnsi"/>
          <w:b/>
          <w:szCs w:val="32"/>
        </w:rPr>
      </w:pPr>
    </w:p>
    <w:p w14:paraId="421BC504" w14:textId="7B0E8EF1" w:rsidR="007D1218" w:rsidRPr="009C3ABF" w:rsidRDefault="007D1218" w:rsidP="007D1218">
      <w:pPr>
        <w:rPr>
          <w:rFonts w:cstheme="minorHAnsi"/>
        </w:rPr>
      </w:pPr>
      <w:r w:rsidRPr="00B04581">
        <w:rPr>
          <w:rFonts w:cstheme="minorHAnsi"/>
        </w:rPr>
        <w:t>The Water Resources business unit consists of two Services, Abstraction Licences and Raw Water Abstraction</w:t>
      </w:r>
    </w:p>
    <w:p w14:paraId="52AA3324" w14:textId="4112A8CD" w:rsidR="007D1218" w:rsidRDefault="007D1218" w:rsidP="009C3ABF">
      <w:pPr>
        <w:pStyle w:val="ListParagraph"/>
        <w:numPr>
          <w:ilvl w:val="1"/>
          <w:numId w:val="5"/>
        </w:numPr>
        <w:tabs>
          <w:tab w:val="left" w:pos="915"/>
        </w:tabs>
        <w:ind w:left="567" w:hanging="567"/>
        <w:rPr>
          <w:rFonts w:asciiTheme="minorHAnsi" w:hAnsiTheme="minorHAnsi" w:cstheme="minorHAnsi"/>
          <w:b/>
          <w:sz w:val="22"/>
          <w:szCs w:val="32"/>
        </w:rPr>
      </w:pPr>
      <w:r w:rsidRPr="000C63B3">
        <w:rPr>
          <w:rFonts w:asciiTheme="minorHAnsi" w:hAnsiTheme="minorHAnsi" w:cstheme="minorHAnsi"/>
          <w:b/>
          <w:sz w:val="22"/>
          <w:szCs w:val="32"/>
        </w:rPr>
        <w:t xml:space="preserve"> Abstraction Licenses</w:t>
      </w:r>
    </w:p>
    <w:p w14:paraId="290A0C6F" w14:textId="77777777" w:rsidR="009C3ABF" w:rsidRPr="009C3ABF" w:rsidRDefault="009C3ABF" w:rsidP="009C3ABF">
      <w:pPr>
        <w:pStyle w:val="ListParagraph"/>
        <w:tabs>
          <w:tab w:val="left" w:pos="915"/>
        </w:tabs>
        <w:ind w:left="567"/>
        <w:rPr>
          <w:rFonts w:asciiTheme="minorHAnsi" w:hAnsiTheme="minorHAnsi" w:cstheme="minorHAnsi"/>
          <w:b/>
          <w:sz w:val="22"/>
          <w:szCs w:val="32"/>
        </w:rPr>
      </w:pPr>
    </w:p>
    <w:p w14:paraId="41A121CD" w14:textId="1080955C" w:rsidR="007D1218" w:rsidRPr="009C3ABF" w:rsidRDefault="007D1218" w:rsidP="007D1218">
      <w:pPr>
        <w:rPr>
          <w:rFonts w:cstheme="minorHAnsi"/>
        </w:rPr>
      </w:pPr>
      <w:r w:rsidRPr="000C63B3">
        <w:rPr>
          <w:rFonts w:cstheme="minorHAnsi"/>
        </w:rPr>
        <w:t xml:space="preserve">The costs of abstraction licences are separately identifiable within the Water Resources business unit as “Service Charges”.  The costs of the abstraction licences are allocated to the abstraction licence service.  In </w:t>
      </w:r>
      <w:proofErr w:type="gramStart"/>
      <w:r w:rsidRPr="000C63B3">
        <w:rPr>
          <w:rFonts w:cstheme="minorHAnsi"/>
        </w:rPr>
        <w:t>addition</w:t>
      </w:r>
      <w:proofErr w:type="gramEnd"/>
      <w:r w:rsidRPr="000C63B3">
        <w:rPr>
          <w:rFonts w:cstheme="minorHAnsi"/>
        </w:rPr>
        <w:t xml:space="preserve"> an allocation of costs relating to negotiating with third parties to obtain the abstraction rights and agree charges is allocated to the abstraction licence service.  </w:t>
      </w:r>
    </w:p>
    <w:p w14:paraId="0FF6E507" w14:textId="462596FD" w:rsidR="007D1218" w:rsidRPr="009C3ABF" w:rsidRDefault="007D1218" w:rsidP="007D1218">
      <w:pPr>
        <w:rPr>
          <w:rFonts w:cstheme="minorHAnsi"/>
        </w:rPr>
      </w:pPr>
      <w:r w:rsidRPr="000C63B3">
        <w:rPr>
          <w:rFonts w:cstheme="minorHAnsi"/>
        </w:rPr>
        <w:t xml:space="preserve">The negotiation of abstraction licences with third parties within South West Water is performed by the Drinking Water Supply Demand Strategy Team.  Management assessment is used to determine the amount of time spent on negotiating abstraction licences by this team.  </w:t>
      </w:r>
    </w:p>
    <w:p w14:paraId="0DBCF66B" w14:textId="77777777" w:rsidR="007D1218" w:rsidRPr="000C63B3" w:rsidRDefault="007D1218" w:rsidP="009C3ABF">
      <w:pPr>
        <w:pStyle w:val="ListParagraph"/>
        <w:numPr>
          <w:ilvl w:val="1"/>
          <w:numId w:val="5"/>
        </w:numPr>
        <w:tabs>
          <w:tab w:val="left" w:pos="915"/>
        </w:tabs>
        <w:ind w:left="567" w:hanging="567"/>
        <w:rPr>
          <w:rFonts w:asciiTheme="minorHAnsi" w:hAnsiTheme="minorHAnsi" w:cstheme="minorHAnsi"/>
          <w:b/>
          <w:sz w:val="22"/>
          <w:szCs w:val="22"/>
        </w:rPr>
      </w:pPr>
      <w:r w:rsidRPr="000C63B3">
        <w:rPr>
          <w:rFonts w:asciiTheme="minorHAnsi" w:hAnsiTheme="minorHAnsi" w:cstheme="minorHAnsi"/>
          <w:b/>
          <w:sz w:val="22"/>
          <w:szCs w:val="22"/>
        </w:rPr>
        <w:t xml:space="preserve"> Raw </w:t>
      </w:r>
      <w:r w:rsidRPr="000C63B3">
        <w:rPr>
          <w:rFonts w:asciiTheme="minorHAnsi" w:hAnsiTheme="minorHAnsi" w:cstheme="minorHAnsi"/>
          <w:b/>
          <w:sz w:val="22"/>
          <w:szCs w:val="32"/>
        </w:rPr>
        <w:t>Water</w:t>
      </w:r>
      <w:r w:rsidRPr="000C63B3">
        <w:rPr>
          <w:rFonts w:asciiTheme="minorHAnsi" w:hAnsiTheme="minorHAnsi" w:cstheme="minorHAnsi"/>
          <w:b/>
          <w:sz w:val="22"/>
          <w:szCs w:val="22"/>
        </w:rPr>
        <w:t xml:space="preserve"> Abstraction</w:t>
      </w:r>
    </w:p>
    <w:p w14:paraId="2546152E" w14:textId="77777777" w:rsidR="007D1218" w:rsidRPr="000C63B3" w:rsidRDefault="007D1218" w:rsidP="007D1218">
      <w:pPr>
        <w:rPr>
          <w:rFonts w:cstheme="minorHAnsi"/>
        </w:rPr>
      </w:pPr>
    </w:p>
    <w:p w14:paraId="07BF674D" w14:textId="469AEA6E" w:rsidR="007D1218" w:rsidRPr="009C3ABF" w:rsidRDefault="007D1218" w:rsidP="009C3ABF">
      <w:pPr>
        <w:rPr>
          <w:rFonts w:cstheme="minorHAnsi"/>
        </w:rPr>
      </w:pPr>
      <w:r w:rsidRPr="000C63B3">
        <w:rPr>
          <w:rFonts w:cstheme="minorHAnsi"/>
        </w:rPr>
        <w:t xml:space="preserve">Following the allocation of costs to the abstraction licence service the balance of the Water Resources business unit cost is allocated to the raw water abstraction service.  </w:t>
      </w:r>
    </w:p>
    <w:p w14:paraId="54EAA959" w14:textId="77777777" w:rsidR="007D1218" w:rsidRPr="000C63B3" w:rsidRDefault="007D1218" w:rsidP="009C3ABF">
      <w:pPr>
        <w:pStyle w:val="ListParagraph"/>
        <w:numPr>
          <w:ilvl w:val="1"/>
          <w:numId w:val="5"/>
        </w:numPr>
        <w:tabs>
          <w:tab w:val="left" w:pos="915"/>
        </w:tabs>
        <w:ind w:left="567" w:hanging="567"/>
        <w:rPr>
          <w:rFonts w:asciiTheme="minorHAnsi" w:hAnsiTheme="minorHAnsi" w:cstheme="minorHAnsi"/>
          <w:b/>
          <w:sz w:val="22"/>
          <w:szCs w:val="32"/>
        </w:rPr>
      </w:pPr>
      <w:r w:rsidRPr="000C63B3">
        <w:rPr>
          <w:rFonts w:asciiTheme="minorHAnsi" w:hAnsiTheme="minorHAnsi" w:cstheme="minorHAnsi"/>
          <w:b/>
          <w:sz w:val="22"/>
          <w:szCs w:val="32"/>
        </w:rPr>
        <w:t xml:space="preserve"> Raw Water Distribution</w:t>
      </w:r>
    </w:p>
    <w:p w14:paraId="228B11C9" w14:textId="77777777" w:rsidR="00D90C90" w:rsidRDefault="00D90C90" w:rsidP="007D1218">
      <w:pPr>
        <w:rPr>
          <w:rFonts w:cstheme="minorHAnsi"/>
        </w:rPr>
      </w:pPr>
    </w:p>
    <w:p w14:paraId="34B92048" w14:textId="302BFCB9" w:rsidR="007D1218" w:rsidRPr="009C3ABF" w:rsidRDefault="007D1218" w:rsidP="007D1218">
      <w:pPr>
        <w:rPr>
          <w:rFonts w:cstheme="minorHAnsi"/>
        </w:rPr>
      </w:pPr>
      <w:r w:rsidRPr="000C63B3">
        <w:rPr>
          <w:rFonts w:cstheme="minorHAnsi"/>
        </w:rPr>
        <w:t xml:space="preserve">The Raw Water Distribution business unit consists of two services, Raw Water Transport and Raw Water Storage.  </w:t>
      </w:r>
    </w:p>
    <w:p w14:paraId="3D183203" w14:textId="77777777" w:rsidR="007D1218" w:rsidRPr="000C63B3" w:rsidRDefault="007D1218" w:rsidP="009C3ABF">
      <w:pPr>
        <w:pStyle w:val="ListParagraph"/>
        <w:numPr>
          <w:ilvl w:val="1"/>
          <w:numId w:val="5"/>
        </w:numPr>
        <w:tabs>
          <w:tab w:val="left" w:pos="915"/>
        </w:tabs>
        <w:ind w:left="567" w:hanging="567"/>
        <w:rPr>
          <w:rFonts w:asciiTheme="minorHAnsi" w:hAnsiTheme="minorHAnsi" w:cstheme="minorHAnsi"/>
          <w:b/>
          <w:sz w:val="22"/>
          <w:szCs w:val="32"/>
        </w:rPr>
      </w:pPr>
      <w:r w:rsidRPr="000C63B3">
        <w:rPr>
          <w:rFonts w:asciiTheme="minorHAnsi" w:hAnsiTheme="minorHAnsi" w:cstheme="minorHAnsi"/>
          <w:b/>
          <w:sz w:val="22"/>
          <w:szCs w:val="32"/>
        </w:rPr>
        <w:t>Raw Water Transport</w:t>
      </w:r>
    </w:p>
    <w:p w14:paraId="64437E58" w14:textId="77777777" w:rsidR="007D1218" w:rsidRPr="000C63B3" w:rsidRDefault="007D1218" w:rsidP="007D1218">
      <w:pPr>
        <w:tabs>
          <w:tab w:val="left" w:pos="915"/>
        </w:tabs>
        <w:rPr>
          <w:rFonts w:cstheme="minorHAnsi"/>
          <w:b/>
          <w:szCs w:val="32"/>
        </w:rPr>
      </w:pPr>
    </w:p>
    <w:p w14:paraId="646796EA" w14:textId="187FEC9F" w:rsidR="007D1218" w:rsidRPr="009C3ABF" w:rsidRDefault="007D1218" w:rsidP="009C3ABF">
      <w:pPr>
        <w:rPr>
          <w:rFonts w:cstheme="minorHAnsi"/>
        </w:rPr>
      </w:pPr>
      <w:r w:rsidRPr="000C63B3">
        <w:rPr>
          <w:rFonts w:cstheme="minorHAnsi"/>
        </w:rPr>
        <w:t>After deducting the cost of Raw Water Storage, the balance of the Raw Water Distribution business unit is allocated to the Raw Water Transport Service</w:t>
      </w:r>
      <w:r>
        <w:rPr>
          <w:rFonts w:cstheme="minorHAnsi"/>
        </w:rPr>
        <w:t>.</w:t>
      </w:r>
    </w:p>
    <w:p w14:paraId="75158252" w14:textId="77777777" w:rsidR="007D1218" w:rsidRPr="000C63B3" w:rsidRDefault="007D1218" w:rsidP="009C3ABF">
      <w:pPr>
        <w:pStyle w:val="ListParagraph"/>
        <w:numPr>
          <w:ilvl w:val="1"/>
          <w:numId w:val="5"/>
        </w:numPr>
        <w:tabs>
          <w:tab w:val="left" w:pos="915"/>
        </w:tabs>
        <w:ind w:left="567" w:hanging="567"/>
        <w:rPr>
          <w:rFonts w:asciiTheme="minorHAnsi" w:hAnsiTheme="minorHAnsi" w:cstheme="minorHAnsi"/>
          <w:b/>
          <w:sz w:val="22"/>
          <w:szCs w:val="32"/>
        </w:rPr>
      </w:pPr>
      <w:r w:rsidRPr="000C63B3">
        <w:rPr>
          <w:rFonts w:asciiTheme="minorHAnsi" w:hAnsiTheme="minorHAnsi" w:cstheme="minorHAnsi"/>
          <w:b/>
          <w:sz w:val="22"/>
          <w:szCs w:val="32"/>
        </w:rPr>
        <w:t>Raw Water Storage</w:t>
      </w:r>
    </w:p>
    <w:p w14:paraId="55357288" w14:textId="77777777" w:rsidR="007D1218" w:rsidRPr="000C63B3" w:rsidRDefault="007D1218" w:rsidP="007D1218">
      <w:pPr>
        <w:rPr>
          <w:rFonts w:cstheme="minorHAnsi"/>
        </w:rPr>
      </w:pPr>
    </w:p>
    <w:p w14:paraId="5DC9143F" w14:textId="3F6D7AEC" w:rsidR="007D1218" w:rsidRDefault="007D1218" w:rsidP="007D1218">
      <w:pPr>
        <w:rPr>
          <w:rFonts w:cstheme="minorHAnsi"/>
        </w:rPr>
      </w:pPr>
      <w:r w:rsidRPr="000C63B3">
        <w:rPr>
          <w:rFonts w:cstheme="minorHAnsi"/>
        </w:rPr>
        <w:t xml:space="preserve">The geography and topography of the South West Water region results in relatively short distances between water resources and water treatment works.  Raw water can be transported directly from the abstraction point to water treatment works.  As a </w:t>
      </w:r>
      <w:proofErr w:type="gramStart"/>
      <w:r w:rsidRPr="000C63B3">
        <w:rPr>
          <w:rFonts w:cstheme="minorHAnsi"/>
        </w:rPr>
        <w:t>result</w:t>
      </w:r>
      <w:proofErr w:type="gramEnd"/>
      <w:r w:rsidRPr="000C63B3">
        <w:rPr>
          <w:rFonts w:cstheme="minorHAnsi"/>
        </w:rPr>
        <w:t xml:space="preserve"> there is a very limited requirement to store raw water.   Break tanks which are used to reduce head (pressure) on spine mains have been allocated to raw water transport, and not raw water storage, as their sole purpose is to control the pressure on the network and not store raw water. </w:t>
      </w:r>
    </w:p>
    <w:p w14:paraId="061A9E3D" w14:textId="77777777" w:rsidR="007D1218" w:rsidRPr="000C63B3" w:rsidRDefault="007D1218" w:rsidP="009C3ABF">
      <w:pPr>
        <w:pStyle w:val="ListParagraph"/>
        <w:numPr>
          <w:ilvl w:val="1"/>
          <w:numId w:val="5"/>
        </w:numPr>
        <w:tabs>
          <w:tab w:val="left" w:pos="915"/>
        </w:tabs>
        <w:ind w:left="567" w:hanging="567"/>
        <w:rPr>
          <w:rFonts w:asciiTheme="minorHAnsi" w:hAnsiTheme="minorHAnsi" w:cstheme="minorHAnsi"/>
          <w:b/>
          <w:sz w:val="22"/>
          <w:szCs w:val="32"/>
        </w:rPr>
      </w:pPr>
      <w:r w:rsidRPr="000C63B3">
        <w:rPr>
          <w:rFonts w:asciiTheme="minorHAnsi" w:hAnsiTheme="minorHAnsi" w:cstheme="minorHAnsi"/>
          <w:b/>
          <w:sz w:val="22"/>
          <w:szCs w:val="32"/>
        </w:rPr>
        <w:t xml:space="preserve"> Water Treatment</w:t>
      </w:r>
    </w:p>
    <w:p w14:paraId="46354C79" w14:textId="77777777" w:rsidR="007D1218" w:rsidRPr="000C63B3" w:rsidRDefault="007D1218" w:rsidP="007D1218">
      <w:pPr>
        <w:rPr>
          <w:rFonts w:cstheme="minorHAnsi"/>
          <w:b/>
          <w:bCs/>
          <w:color w:val="FFFFFF"/>
          <w:lang w:eastAsia="en-GB"/>
        </w:rPr>
      </w:pPr>
    </w:p>
    <w:p w14:paraId="0D19DFEB" w14:textId="73602F58" w:rsidR="009C3ABF" w:rsidRPr="009C3ABF" w:rsidRDefault="007D1218" w:rsidP="007D1218">
      <w:pPr>
        <w:rPr>
          <w:rFonts w:cstheme="minorHAnsi"/>
        </w:rPr>
      </w:pPr>
      <w:r w:rsidRPr="000C63B3">
        <w:rPr>
          <w:rFonts w:cstheme="minorHAnsi"/>
        </w:rPr>
        <w:lastRenderedPageBreak/>
        <w:t>The Water Treatment Business Unit contains only one service.   All costs identified as being part of the Water Treatment Business Unit by the Accounting Separation Methodology are allocated to this Service</w:t>
      </w:r>
      <w:r w:rsidR="009C3ABF">
        <w:rPr>
          <w:rFonts w:cstheme="minorHAnsi"/>
        </w:rPr>
        <w:t>.</w:t>
      </w:r>
    </w:p>
    <w:p w14:paraId="4BBDCFEE" w14:textId="77777777" w:rsidR="007D1218" w:rsidRPr="000C63B3" w:rsidRDefault="007D1218" w:rsidP="009C3ABF">
      <w:pPr>
        <w:pStyle w:val="ListParagraph"/>
        <w:numPr>
          <w:ilvl w:val="1"/>
          <w:numId w:val="5"/>
        </w:numPr>
        <w:tabs>
          <w:tab w:val="left" w:pos="915"/>
        </w:tabs>
        <w:ind w:left="567" w:hanging="567"/>
        <w:rPr>
          <w:rFonts w:asciiTheme="minorHAnsi" w:hAnsiTheme="minorHAnsi" w:cstheme="minorHAnsi"/>
          <w:b/>
          <w:sz w:val="22"/>
          <w:szCs w:val="32"/>
        </w:rPr>
      </w:pPr>
      <w:r w:rsidRPr="000C63B3">
        <w:rPr>
          <w:rFonts w:asciiTheme="minorHAnsi" w:hAnsiTheme="minorHAnsi" w:cstheme="minorHAnsi"/>
          <w:b/>
          <w:sz w:val="22"/>
          <w:szCs w:val="32"/>
        </w:rPr>
        <w:t>Treated Water Distribution</w:t>
      </w:r>
    </w:p>
    <w:p w14:paraId="4BDEC8D5" w14:textId="77777777" w:rsidR="007D1218" w:rsidRPr="000C63B3" w:rsidRDefault="007D1218" w:rsidP="007D1218">
      <w:pPr>
        <w:rPr>
          <w:rFonts w:cstheme="minorHAnsi"/>
        </w:rPr>
      </w:pPr>
    </w:p>
    <w:p w14:paraId="64D61BBE" w14:textId="1CEC734C" w:rsidR="007D1218" w:rsidRPr="009C3ABF" w:rsidRDefault="007D1218" w:rsidP="007D1218">
      <w:pPr>
        <w:rPr>
          <w:rFonts w:cstheme="minorHAnsi"/>
        </w:rPr>
      </w:pPr>
      <w:r w:rsidRPr="000C63B3">
        <w:rPr>
          <w:rFonts w:cstheme="minorHAnsi"/>
        </w:rPr>
        <w:t>The Treated Water Distribution business unit contains only one service.   All costs identified as being part of the Treated Water Distribution business unit by the Accounting Separation Methodology are allocated to this service.</w:t>
      </w:r>
    </w:p>
    <w:p w14:paraId="040CCBE9" w14:textId="549026DF" w:rsidR="007D1218" w:rsidRPr="00D61417" w:rsidRDefault="007D1218" w:rsidP="00D61417">
      <w:pPr>
        <w:tabs>
          <w:tab w:val="left" w:pos="915"/>
        </w:tabs>
        <w:rPr>
          <w:rFonts w:cstheme="minorHAnsi"/>
          <w:szCs w:val="32"/>
        </w:rPr>
      </w:pPr>
      <w:r w:rsidRPr="00D61417">
        <w:rPr>
          <w:rFonts w:cstheme="minorHAnsi"/>
          <w:szCs w:val="32"/>
        </w:rPr>
        <w:t>Allocation of Waste Water Business Units to Services</w:t>
      </w:r>
    </w:p>
    <w:p w14:paraId="217A22E9" w14:textId="63D32E5F" w:rsidR="007D1218" w:rsidRPr="00D61417" w:rsidRDefault="007D1218" w:rsidP="00D61417">
      <w:pPr>
        <w:tabs>
          <w:tab w:val="left" w:pos="915"/>
        </w:tabs>
        <w:rPr>
          <w:rFonts w:cstheme="minorHAnsi"/>
          <w:szCs w:val="32"/>
        </w:rPr>
      </w:pPr>
      <w:r w:rsidRPr="00D61417">
        <w:rPr>
          <w:rFonts w:cstheme="minorHAnsi"/>
          <w:szCs w:val="32"/>
        </w:rPr>
        <w:t xml:space="preserve">The </w:t>
      </w:r>
      <w:proofErr w:type="gramStart"/>
      <w:r w:rsidRPr="00D61417">
        <w:rPr>
          <w:rFonts w:cstheme="minorHAnsi"/>
          <w:szCs w:val="32"/>
        </w:rPr>
        <w:t>Waste Water</w:t>
      </w:r>
      <w:proofErr w:type="gramEnd"/>
      <w:r w:rsidRPr="00D61417">
        <w:rPr>
          <w:rFonts w:cstheme="minorHAnsi"/>
          <w:szCs w:val="32"/>
        </w:rPr>
        <w:t xml:space="preserve"> Business Units break down into 8 Services as shown in section 6.3</w:t>
      </w:r>
    </w:p>
    <w:p w14:paraId="659A09CD" w14:textId="77777777" w:rsidR="007D1218" w:rsidRPr="00A2719B" w:rsidRDefault="007D1218" w:rsidP="009C3ABF">
      <w:pPr>
        <w:pStyle w:val="ListParagraph"/>
        <w:numPr>
          <w:ilvl w:val="1"/>
          <w:numId w:val="5"/>
        </w:numPr>
        <w:tabs>
          <w:tab w:val="left" w:pos="915"/>
        </w:tabs>
        <w:ind w:left="567" w:hanging="567"/>
        <w:rPr>
          <w:rFonts w:asciiTheme="minorHAnsi" w:hAnsiTheme="minorHAnsi" w:cstheme="minorHAnsi"/>
          <w:b/>
          <w:sz w:val="22"/>
          <w:szCs w:val="22"/>
        </w:rPr>
      </w:pPr>
      <w:r w:rsidRPr="00A2719B">
        <w:rPr>
          <w:rFonts w:asciiTheme="minorHAnsi" w:hAnsiTheme="minorHAnsi" w:cstheme="minorHAnsi"/>
          <w:b/>
          <w:sz w:val="22"/>
          <w:szCs w:val="32"/>
        </w:rPr>
        <w:t>Sewage</w:t>
      </w:r>
      <w:r w:rsidRPr="00A2719B">
        <w:rPr>
          <w:rFonts w:asciiTheme="minorHAnsi" w:hAnsiTheme="minorHAnsi" w:cstheme="minorHAnsi"/>
          <w:b/>
          <w:sz w:val="22"/>
          <w:szCs w:val="22"/>
        </w:rPr>
        <w:t xml:space="preserve"> Collection</w:t>
      </w:r>
    </w:p>
    <w:p w14:paraId="6176F069" w14:textId="77777777" w:rsidR="007D1218" w:rsidRPr="00A2719B" w:rsidRDefault="007D1218" w:rsidP="007D1218">
      <w:pPr>
        <w:rPr>
          <w:rFonts w:cstheme="minorHAnsi"/>
        </w:rPr>
      </w:pPr>
    </w:p>
    <w:p w14:paraId="1BEE3C10" w14:textId="467ACBB2" w:rsidR="007D1218" w:rsidRPr="009C3ABF" w:rsidRDefault="007D1218" w:rsidP="007D1218">
      <w:pPr>
        <w:rPr>
          <w:rFonts w:cstheme="minorHAnsi"/>
        </w:rPr>
      </w:pPr>
      <w:r w:rsidRPr="00A2719B">
        <w:rPr>
          <w:rFonts w:cstheme="minorHAnsi"/>
          <w:szCs w:val="32"/>
        </w:rPr>
        <w:t xml:space="preserve">The operating cost of the Sewage Collection Business Unit is identified by the Accounting Separation Methodology.  </w:t>
      </w:r>
      <w:r w:rsidRPr="00A2719B">
        <w:rPr>
          <w:rFonts w:cstheme="minorHAnsi"/>
        </w:rPr>
        <w:t>The business unit cost is allocated to services based on the length of each type of sewer as recorded in South West Water’s Geographic Information System (“GIS”).</w:t>
      </w:r>
    </w:p>
    <w:tbl>
      <w:tblPr>
        <w:tblW w:w="8222" w:type="dxa"/>
        <w:tblInd w:w="108" w:type="dxa"/>
        <w:tblLayout w:type="fixed"/>
        <w:tblLook w:val="04A0" w:firstRow="1" w:lastRow="0" w:firstColumn="1" w:lastColumn="0" w:noHBand="0" w:noVBand="1"/>
      </w:tblPr>
      <w:tblGrid>
        <w:gridCol w:w="1418"/>
        <w:gridCol w:w="3969"/>
        <w:gridCol w:w="1984"/>
        <w:gridCol w:w="851"/>
      </w:tblGrid>
      <w:tr w:rsidR="007D1218" w:rsidRPr="00A2719B" w14:paraId="36A4D035" w14:textId="77777777" w:rsidTr="008B45DA">
        <w:trPr>
          <w:trHeight w:val="325"/>
        </w:trPr>
        <w:tc>
          <w:tcPr>
            <w:tcW w:w="1418" w:type="dxa"/>
            <w:tcBorders>
              <w:top w:val="nil"/>
              <w:left w:val="nil"/>
              <w:bottom w:val="nil"/>
              <w:right w:val="nil"/>
            </w:tcBorders>
            <w:shd w:val="clear" w:color="auto" w:fill="auto"/>
            <w:noWrap/>
            <w:vAlign w:val="center"/>
            <w:hideMark/>
          </w:tcPr>
          <w:p w14:paraId="1D82E418" w14:textId="77777777" w:rsidR="007D1218" w:rsidRPr="00A2719B" w:rsidRDefault="007D1218" w:rsidP="00DB4B44">
            <w:pPr>
              <w:rPr>
                <w:lang w:eastAsia="en-GB"/>
              </w:rPr>
            </w:pPr>
          </w:p>
        </w:tc>
        <w:tc>
          <w:tcPr>
            <w:tcW w:w="3969" w:type="dxa"/>
            <w:tcBorders>
              <w:top w:val="nil"/>
              <w:left w:val="nil"/>
              <w:bottom w:val="nil"/>
              <w:right w:val="nil"/>
            </w:tcBorders>
            <w:shd w:val="clear" w:color="auto" w:fill="auto"/>
            <w:noWrap/>
            <w:vAlign w:val="center"/>
            <w:hideMark/>
          </w:tcPr>
          <w:p w14:paraId="41751BA0" w14:textId="77777777" w:rsidR="007D1218" w:rsidRPr="00A2719B" w:rsidRDefault="007D1218" w:rsidP="00DB4B44">
            <w:pPr>
              <w:rPr>
                <w:lang w:eastAsia="en-GB"/>
              </w:rPr>
            </w:pPr>
          </w:p>
        </w:tc>
        <w:tc>
          <w:tcPr>
            <w:tcW w:w="1984" w:type="dxa"/>
            <w:tcBorders>
              <w:top w:val="single" w:sz="4" w:space="0" w:color="auto"/>
              <w:left w:val="single" w:sz="4" w:space="0" w:color="auto"/>
              <w:bottom w:val="nil"/>
              <w:right w:val="single" w:sz="4" w:space="0" w:color="auto"/>
            </w:tcBorders>
            <w:shd w:val="clear" w:color="auto" w:fill="auto"/>
            <w:vAlign w:val="center"/>
            <w:hideMark/>
          </w:tcPr>
          <w:p w14:paraId="44B197BA" w14:textId="77777777" w:rsidR="007D1218" w:rsidRPr="00A2719B" w:rsidRDefault="007D1218" w:rsidP="00DB4B44">
            <w:pPr>
              <w:rPr>
                <w:b/>
                <w:bCs/>
                <w:lang w:eastAsia="en-GB"/>
              </w:rPr>
            </w:pPr>
            <w:bookmarkStart w:id="22" w:name="_Toc484511756"/>
            <w:r w:rsidRPr="00A2719B">
              <w:rPr>
                <w:lang w:eastAsia="en-GB"/>
              </w:rPr>
              <w:t>Total Length (Km</w:t>
            </w:r>
            <w:r w:rsidRPr="00A2719B">
              <w:rPr>
                <w:bCs/>
                <w:lang w:eastAsia="en-GB"/>
              </w:rPr>
              <w:t>)</w:t>
            </w:r>
            <w:bookmarkEnd w:id="22"/>
          </w:p>
        </w:tc>
        <w:tc>
          <w:tcPr>
            <w:tcW w:w="851" w:type="dxa"/>
            <w:tcBorders>
              <w:top w:val="single" w:sz="4" w:space="0" w:color="auto"/>
              <w:left w:val="nil"/>
              <w:bottom w:val="nil"/>
              <w:right w:val="single" w:sz="4" w:space="0" w:color="auto"/>
            </w:tcBorders>
            <w:shd w:val="clear" w:color="auto" w:fill="auto"/>
            <w:noWrap/>
            <w:vAlign w:val="center"/>
            <w:hideMark/>
          </w:tcPr>
          <w:p w14:paraId="6C1682CC" w14:textId="77777777" w:rsidR="007D1218" w:rsidRPr="00A2719B" w:rsidRDefault="007D1218" w:rsidP="00DB4B44">
            <w:pPr>
              <w:rPr>
                <w:b/>
                <w:bCs/>
                <w:lang w:eastAsia="en-GB"/>
              </w:rPr>
            </w:pPr>
            <w:bookmarkStart w:id="23" w:name="_Toc484511757"/>
            <w:r w:rsidRPr="00A2719B">
              <w:rPr>
                <w:b/>
                <w:bCs/>
                <w:lang w:eastAsia="en-GB"/>
              </w:rPr>
              <w:t>%</w:t>
            </w:r>
            <w:bookmarkEnd w:id="23"/>
          </w:p>
        </w:tc>
      </w:tr>
      <w:tr w:rsidR="007D1218" w:rsidRPr="0055270E" w14:paraId="404B1D5A" w14:textId="77777777" w:rsidTr="008B45DA">
        <w:trPr>
          <w:trHeight w:val="287"/>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D46415" w14:textId="77777777" w:rsidR="007D1218" w:rsidRPr="004237C3" w:rsidRDefault="007D1218" w:rsidP="00DB4B44">
            <w:pPr>
              <w:rPr>
                <w:lang w:eastAsia="en-GB"/>
              </w:rPr>
            </w:pPr>
            <w:r w:rsidRPr="004237C3">
              <w:rPr>
                <w:lang w:eastAsia="en-GB"/>
              </w:rPr>
              <w:t>Sewage Collection</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14:paraId="4E1069DF" w14:textId="77777777" w:rsidR="007D1218" w:rsidRPr="004237C3" w:rsidRDefault="007D1218" w:rsidP="00DB4B44">
            <w:pPr>
              <w:rPr>
                <w:lang w:eastAsia="en-GB"/>
              </w:rPr>
            </w:pPr>
            <w:r w:rsidRPr="004237C3">
              <w:rPr>
                <w:lang w:eastAsia="en-GB"/>
              </w:rPr>
              <w:t>Highway Drainage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BA6DBF" w14:textId="77777777" w:rsidR="007D1218" w:rsidRPr="009E34AF" w:rsidRDefault="007D1218" w:rsidP="00DB4B44">
            <w:pPr>
              <w:rPr>
                <w:lang w:eastAsia="en-GB"/>
              </w:rPr>
            </w:pPr>
            <w:r w:rsidRPr="008B45DA">
              <w:rPr>
                <w:lang w:eastAsia="en-GB"/>
              </w:rPr>
              <w:t>476</w:t>
            </w:r>
          </w:p>
        </w:tc>
        <w:tc>
          <w:tcPr>
            <w:tcW w:w="851" w:type="dxa"/>
            <w:tcBorders>
              <w:top w:val="single" w:sz="4" w:space="0" w:color="auto"/>
              <w:left w:val="nil"/>
              <w:bottom w:val="single" w:sz="4" w:space="0" w:color="auto"/>
              <w:right w:val="single" w:sz="4" w:space="0" w:color="auto"/>
            </w:tcBorders>
            <w:shd w:val="clear" w:color="auto" w:fill="auto"/>
            <w:vAlign w:val="bottom"/>
          </w:tcPr>
          <w:p w14:paraId="19111B25" w14:textId="77777777" w:rsidR="007D1218" w:rsidRPr="009E34AF" w:rsidRDefault="007D1218" w:rsidP="00DB4B44">
            <w:pPr>
              <w:rPr>
                <w:lang w:eastAsia="en-GB"/>
              </w:rPr>
            </w:pPr>
            <w:r w:rsidRPr="008B45DA">
              <w:rPr>
                <w:lang w:eastAsia="en-GB"/>
              </w:rPr>
              <w:t>4.0%</w:t>
            </w:r>
          </w:p>
        </w:tc>
      </w:tr>
      <w:tr w:rsidR="007D1218" w:rsidRPr="0055270E" w14:paraId="641A0208" w14:textId="77777777" w:rsidTr="008B45DA">
        <w:trPr>
          <w:trHeight w:val="269"/>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CB1E767" w14:textId="77777777" w:rsidR="007D1218" w:rsidRPr="004237C3" w:rsidRDefault="007D1218" w:rsidP="00DB4B44">
            <w:pPr>
              <w:rPr>
                <w:lang w:eastAsia="en-GB"/>
              </w:rPr>
            </w:pPr>
          </w:p>
        </w:tc>
        <w:tc>
          <w:tcPr>
            <w:tcW w:w="3969" w:type="dxa"/>
            <w:tcBorders>
              <w:top w:val="nil"/>
              <w:left w:val="nil"/>
              <w:bottom w:val="single" w:sz="4" w:space="0" w:color="auto"/>
              <w:right w:val="single" w:sz="4" w:space="0" w:color="auto"/>
            </w:tcBorders>
            <w:shd w:val="clear" w:color="auto" w:fill="auto"/>
            <w:vAlign w:val="bottom"/>
            <w:hideMark/>
          </w:tcPr>
          <w:p w14:paraId="70072EDC" w14:textId="77777777" w:rsidR="007D1218" w:rsidRPr="004237C3" w:rsidRDefault="007D1218" w:rsidP="00DB4B44">
            <w:pPr>
              <w:rPr>
                <w:lang w:eastAsia="en-GB"/>
              </w:rPr>
            </w:pPr>
            <w:r w:rsidRPr="004237C3">
              <w:rPr>
                <w:lang w:eastAsia="en-GB"/>
              </w:rPr>
              <w:t>Surface Water Drainage</w:t>
            </w:r>
          </w:p>
        </w:tc>
        <w:tc>
          <w:tcPr>
            <w:tcW w:w="1984" w:type="dxa"/>
            <w:tcBorders>
              <w:top w:val="nil"/>
              <w:left w:val="nil"/>
              <w:bottom w:val="single" w:sz="4" w:space="0" w:color="auto"/>
              <w:right w:val="single" w:sz="4" w:space="0" w:color="auto"/>
            </w:tcBorders>
            <w:shd w:val="clear" w:color="auto" w:fill="auto"/>
            <w:vAlign w:val="center"/>
          </w:tcPr>
          <w:p w14:paraId="5E9DA2F5" w14:textId="77777777" w:rsidR="007D1218" w:rsidRPr="009E34AF" w:rsidRDefault="007D1218" w:rsidP="00DB4B44">
            <w:pPr>
              <w:rPr>
                <w:lang w:eastAsia="en-GB"/>
              </w:rPr>
            </w:pPr>
            <w:r w:rsidRPr="008B45DA">
              <w:rPr>
                <w:lang w:eastAsia="en-GB"/>
              </w:rPr>
              <w:t>2660</w:t>
            </w:r>
          </w:p>
        </w:tc>
        <w:tc>
          <w:tcPr>
            <w:tcW w:w="851" w:type="dxa"/>
            <w:tcBorders>
              <w:top w:val="nil"/>
              <w:left w:val="nil"/>
              <w:bottom w:val="single" w:sz="4" w:space="0" w:color="auto"/>
              <w:right w:val="single" w:sz="4" w:space="0" w:color="auto"/>
            </w:tcBorders>
            <w:shd w:val="clear" w:color="auto" w:fill="auto"/>
            <w:vAlign w:val="bottom"/>
          </w:tcPr>
          <w:p w14:paraId="608186B7" w14:textId="77777777" w:rsidR="007D1218" w:rsidRPr="009E34AF" w:rsidRDefault="007D1218" w:rsidP="00DB4B44">
            <w:pPr>
              <w:rPr>
                <w:lang w:eastAsia="en-GB"/>
              </w:rPr>
            </w:pPr>
            <w:r w:rsidRPr="008B45DA">
              <w:rPr>
                <w:lang w:eastAsia="en-GB"/>
              </w:rPr>
              <w:t>22.5%</w:t>
            </w:r>
          </w:p>
        </w:tc>
      </w:tr>
      <w:tr w:rsidR="007D1218" w:rsidRPr="0055270E" w14:paraId="3BA530CC" w14:textId="77777777" w:rsidTr="008B45DA">
        <w:trPr>
          <w:trHeight w:val="28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4CCC7CB" w14:textId="77777777" w:rsidR="007D1218" w:rsidRPr="004237C3" w:rsidRDefault="007D1218" w:rsidP="00DB4B44">
            <w:pPr>
              <w:rPr>
                <w:lang w:eastAsia="en-GB"/>
              </w:rPr>
            </w:pPr>
          </w:p>
        </w:tc>
        <w:tc>
          <w:tcPr>
            <w:tcW w:w="3969" w:type="dxa"/>
            <w:tcBorders>
              <w:top w:val="nil"/>
              <w:left w:val="nil"/>
              <w:bottom w:val="single" w:sz="4" w:space="0" w:color="auto"/>
              <w:right w:val="single" w:sz="4" w:space="0" w:color="auto"/>
            </w:tcBorders>
            <w:shd w:val="clear" w:color="auto" w:fill="auto"/>
            <w:vAlign w:val="bottom"/>
            <w:hideMark/>
          </w:tcPr>
          <w:p w14:paraId="4F199D3F" w14:textId="77777777" w:rsidR="007D1218" w:rsidRPr="004237C3" w:rsidRDefault="007D1218" w:rsidP="00DB4B44">
            <w:pPr>
              <w:rPr>
                <w:lang w:eastAsia="en-GB"/>
              </w:rPr>
            </w:pPr>
            <w:r w:rsidRPr="004237C3">
              <w:rPr>
                <w:lang w:eastAsia="en-GB"/>
              </w:rPr>
              <w:t>Foul (Combined)</w:t>
            </w:r>
          </w:p>
        </w:tc>
        <w:tc>
          <w:tcPr>
            <w:tcW w:w="1984" w:type="dxa"/>
            <w:tcBorders>
              <w:top w:val="nil"/>
              <w:left w:val="nil"/>
              <w:bottom w:val="single" w:sz="4" w:space="0" w:color="auto"/>
              <w:right w:val="single" w:sz="4" w:space="0" w:color="auto"/>
            </w:tcBorders>
            <w:shd w:val="clear" w:color="auto" w:fill="auto"/>
            <w:vAlign w:val="center"/>
          </w:tcPr>
          <w:p w14:paraId="24B2664F" w14:textId="77777777" w:rsidR="007D1218" w:rsidRPr="009E34AF" w:rsidRDefault="007D1218" w:rsidP="00DB4B44">
            <w:pPr>
              <w:rPr>
                <w:lang w:eastAsia="en-GB"/>
              </w:rPr>
            </w:pPr>
            <w:r w:rsidRPr="008B45DA">
              <w:rPr>
                <w:lang w:eastAsia="en-GB"/>
              </w:rPr>
              <w:t>8679</w:t>
            </w:r>
          </w:p>
        </w:tc>
        <w:tc>
          <w:tcPr>
            <w:tcW w:w="851" w:type="dxa"/>
            <w:tcBorders>
              <w:top w:val="nil"/>
              <w:left w:val="nil"/>
              <w:bottom w:val="single" w:sz="4" w:space="0" w:color="auto"/>
              <w:right w:val="single" w:sz="4" w:space="0" w:color="auto"/>
            </w:tcBorders>
            <w:shd w:val="clear" w:color="auto" w:fill="auto"/>
            <w:vAlign w:val="bottom"/>
          </w:tcPr>
          <w:p w14:paraId="6B0BB82B" w14:textId="77777777" w:rsidR="007D1218" w:rsidRPr="009E34AF" w:rsidRDefault="007D1218" w:rsidP="00DB4B44">
            <w:pPr>
              <w:rPr>
                <w:lang w:eastAsia="en-GB"/>
              </w:rPr>
            </w:pPr>
            <w:r w:rsidRPr="008B45DA">
              <w:rPr>
                <w:lang w:eastAsia="en-GB"/>
              </w:rPr>
              <w:t>73.5%</w:t>
            </w:r>
          </w:p>
        </w:tc>
      </w:tr>
      <w:tr w:rsidR="007D1218" w:rsidRPr="0055270E" w14:paraId="4937CE1D" w14:textId="77777777" w:rsidTr="008B45DA">
        <w:trPr>
          <w:trHeight w:val="30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B4DE098" w14:textId="77777777" w:rsidR="007D1218" w:rsidRPr="004237C3" w:rsidRDefault="007D1218" w:rsidP="00DB4B44">
            <w:pPr>
              <w:rPr>
                <w:lang w:eastAsia="en-GB"/>
              </w:rPr>
            </w:pPr>
          </w:p>
        </w:tc>
        <w:tc>
          <w:tcPr>
            <w:tcW w:w="3969" w:type="dxa"/>
            <w:tcBorders>
              <w:top w:val="nil"/>
              <w:left w:val="nil"/>
              <w:bottom w:val="single" w:sz="4" w:space="0" w:color="auto"/>
              <w:right w:val="single" w:sz="4" w:space="0" w:color="auto"/>
            </w:tcBorders>
            <w:shd w:val="clear" w:color="auto" w:fill="auto"/>
            <w:vAlign w:val="center"/>
            <w:hideMark/>
          </w:tcPr>
          <w:p w14:paraId="05AE02EF" w14:textId="77777777" w:rsidR="007D1218" w:rsidRPr="004237C3" w:rsidRDefault="007D1218" w:rsidP="00DB4B44">
            <w:pPr>
              <w:rPr>
                <w:lang w:eastAsia="en-GB"/>
              </w:rPr>
            </w:pPr>
            <w:bookmarkStart w:id="24" w:name="_Toc484511760"/>
            <w:r w:rsidRPr="004237C3">
              <w:rPr>
                <w:lang w:eastAsia="en-GB"/>
              </w:rPr>
              <w:t>Total</w:t>
            </w:r>
            <w:bookmarkEnd w:id="24"/>
          </w:p>
        </w:tc>
        <w:tc>
          <w:tcPr>
            <w:tcW w:w="1984" w:type="dxa"/>
            <w:tcBorders>
              <w:top w:val="nil"/>
              <w:left w:val="nil"/>
              <w:bottom w:val="single" w:sz="4" w:space="0" w:color="auto"/>
              <w:right w:val="single" w:sz="4" w:space="0" w:color="auto"/>
            </w:tcBorders>
            <w:shd w:val="clear" w:color="auto" w:fill="auto"/>
            <w:noWrap/>
            <w:vAlign w:val="bottom"/>
          </w:tcPr>
          <w:p w14:paraId="7FB34AE2" w14:textId="77777777" w:rsidR="007D1218" w:rsidRPr="009E34AF" w:rsidRDefault="007D1218" w:rsidP="00DB4B44">
            <w:pPr>
              <w:rPr>
                <w:lang w:eastAsia="en-GB"/>
              </w:rPr>
            </w:pPr>
            <w:r w:rsidRPr="008B45DA">
              <w:rPr>
                <w:lang w:eastAsia="en-GB"/>
              </w:rPr>
              <w:t>11815</w:t>
            </w:r>
          </w:p>
        </w:tc>
        <w:tc>
          <w:tcPr>
            <w:tcW w:w="851" w:type="dxa"/>
            <w:tcBorders>
              <w:top w:val="nil"/>
              <w:left w:val="nil"/>
              <w:bottom w:val="single" w:sz="4" w:space="0" w:color="auto"/>
              <w:right w:val="single" w:sz="4" w:space="0" w:color="auto"/>
            </w:tcBorders>
            <w:shd w:val="clear" w:color="auto" w:fill="auto"/>
            <w:noWrap/>
            <w:vAlign w:val="center"/>
          </w:tcPr>
          <w:p w14:paraId="1C4CCBEC" w14:textId="77777777" w:rsidR="007D1218" w:rsidRPr="009E34AF" w:rsidRDefault="007D1218" w:rsidP="00DB4B44">
            <w:pPr>
              <w:rPr>
                <w:lang w:eastAsia="en-GB"/>
              </w:rPr>
            </w:pPr>
            <w:bookmarkStart w:id="25" w:name="_Toc484511762"/>
            <w:r w:rsidRPr="008B45DA">
              <w:rPr>
                <w:lang w:eastAsia="en-GB"/>
              </w:rPr>
              <w:t>100</w:t>
            </w:r>
            <w:bookmarkEnd w:id="25"/>
          </w:p>
        </w:tc>
      </w:tr>
    </w:tbl>
    <w:p w14:paraId="7CEAFCE8" w14:textId="77777777" w:rsidR="007D1218" w:rsidRPr="0091297D" w:rsidRDefault="007D1218" w:rsidP="007D1218">
      <w:pPr>
        <w:rPr>
          <w:rFonts w:cstheme="minorHAnsi"/>
          <w:highlight w:val="yellow"/>
        </w:rPr>
      </w:pPr>
    </w:p>
    <w:p w14:paraId="5DF55055" w14:textId="77777777" w:rsidR="007D1218" w:rsidRPr="0091297D" w:rsidRDefault="007D1218" w:rsidP="007D1218">
      <w:pPr>
        <w:rPr>
          <w:rFonts w:cstheme="minorHAnsi"/>
          <w:b/>
          <w:szCs w:val="32"/>
          <w:highlight w:val="yellow"/>
        </w:rPr>
      </w:pPr>
      <w:r w:rsidRPr="000C63B3">
        <w:rPr>
          <w:rFonts w:cstheme="minorHAnsi"/>
        </w:rPr>
        <w:t xml:space="preserve">A proportion of </w:t>
      </w:r>
      <w:proofErr w:type="gramStart"/>
      <w:r w:rsidRPr="000C63B3">
        <w:rPr>
          <w:rFonts w:cstheme="minorHAnsi"/>
        </w:rPr>
        <w:t>South West</w:t>
      </w:r>
      <w:proofErr w:type="gramEnd"/>
      <w:r w:rsidRPr="000C63B3">
        <w:rPr>
          <w:rFonts w:cstheme="minorHAnsi"/>
        </w:rPr>
        <w:t xml:space="preserve"> Water’s sewage collection network is combined (i.e. it is used to collect foul, surface drainage and highway drainage).</w:t>
      </w:r>
      <w:r w:rsidRPr="0091297D">
        <w:rPr>
          <w:rFonts w:cstheme="minorHAnsi"/>
          <w:b/>
          <w:szCs w:val="32"/>
          <w:highlight w:val="yellow"/>
        </w:rPr>
        <w:br w:type="page"/>
      </w:r>
    </w:p>
    <w:p w14:paraId="2717B70E" w14:textId="77777777" w:rsidR="007D1218" w:rsidRPr="000C63B3" w:rsidRDefault="007D1218" w:rsidP="009C3ABF">
      <w:pPr>
        <w:pStyle w:val="ListParagraph"/>
        <w:numPr>
          <w:ilvl w:val="1"/>
          <w:numId w:val="5"/>
        </w:numPr>
        <w:tabs>
          <w:tab w:val="left" w:pos="915"/>
        </w:tabs>
        <w:ind w:left="567" w:hanging="567"/>
        <w:rPr>
          <w:rFonts w:asciiTheme="minorHAnsi" w:hAnsiTheme="minorHAnsi" w:cstheme="minorHAnsi"/>
          <w:b/>
          <w:sz w:val="22"/>
          <w:szCs w:val="32"/>
        </w:rPr>
      </w:pPr>
      <w:r w:rsidRPr="000C63B3">
        <w:rPr>
          <w:rFonts w:asciiTheme="minorHAnsi" w:hAnsiTheme="minorHAnsi" w:cstheme="minorHAnsi"/>
          <w:b/>
          <w:sz w:val="22"/>
          <w:szCs w:val="32"/>
        </w:rPr>
        <w:lastRenderedPageBreak/>
        <w:t xml:space="preserve">Sewage Treatment and Disposal </w:t>
      </w:r>
    </w:p>
    <w:p w14:paraId="53D65652" w14:textId="77777777" w:rsidR="007D1218" w:rsidRPr="000C63B3" w:rsidRDefault="007D1218" w:rsidP="007D1218">
      <w:pPr>
        <w:rPr>
          <w:rFonts w:cstheme="minorHAnsi"/>
          <w:sz w:val="20"/>
          <w:szCs w:val="20"/>
        </w:rPr>
      </w:pPr>
    </w:p>
    <w:p w14:paraId="6C878965" w14:textId="2F767F81" w:rsidR="007D1218" w:rsidRPr="009C3ABF" w:rsidRDefault="007D1218" w:rsidP="007D1218">
      <w:pPr>
        <w:rPr>
          <w:rFonts w:cstheme="minorHAnsi"/>
          <w:szCs w:val="32"/>
        </w:rPr>
      </w:pPr>
      <w:r w:rsidRPr="000C63B3">
        <w:rPr>
          <w:rFonts w:cstheme="minorHAnsi"/>
          <w:szCs w:val="32"/>
        </w:rPr>
        <w:t>The cost for the Sewage Treatment business unit is identified as part of South West Water’s accounting separation process.  This is allocated 100% to the Sewage Treatment and Disposal service.</w:t>
      </w:r>
    </w:p>
    <w:p w14:paraId="26AED95C" w14:textId="77777777" w:rsidR="007D1218" w:rsidRPr="00E87437" w:rsidRDefault="007D1218" w:rsidP="009C3ABF">
      <w:pPr>
        <w:pStyle w:val="ListParagraph"/>
        <w:numPr>
          <w:ilvl w:val="1"/>
          <w:numId w:val="5"/>
        </w:numPr>
        <w:tabs>
          <w:tab w:val="left" w:pos="915"/>
        </w:tabs>
        <w:ind w:left="567" w:hanging="567"/>
        <w:rPr>
          <w:rFonts w:asciiTheme="minorHAnsi" w:hAnsiTheme="minorHAnsi" w:cstheme="minorHAnsi"/>
          <w:b/>
          <w:sz w:val="22"/>
          <w:szCs w:val="32"/>
        </w:rPr>
      </w:pPr>
      <w:r w:rsidRPr="00E87437">
        <w:rPr>
          <w:rFonts w:asciiTheme="minorHAnsi" w:hAnsiTheme="minorHAnsi" w:cstheme="minorHAnsi"/>
          <w:b/>
          <w:sz w:val="22"/>
          <w:szCs w:val="32"/>
        </w:rPr>
        <w:t xml:space="preserve"> Imported Liquor Treatment</w:t>
      </w:r>
    </w:p>
    <w:p w14:paraId="1CD56708" w14:textId="77777777" w:rsidR="007D1218" w:rsidRPr="00E87437" w:rsidRDefault="007D1218" w:rsidP="007D1218">
      <w:pPr>
        <w:rPr>
          <w:rFonts w:cstheme="minorHAnsi"/>
          <w:sz w:val="20"/>
          <w:szCs w:val="20"/>
        </w:rPr>
      </w:pPr>
    </w:p>
    <w:p w14:paraId="08F34DA1" w14:textId="03EFF585" w:rsidR="007D1218" w:rsidRPr="009C3ABF" w:rsidRDefault="007D1218" w:rsidP="007D1218">
      <w:pPr>
        <w:rPr>
          <w:rFonts w:cstheme="minorHAnsi"/>
          <w:szCs w:val="32"/>
        </w:rPr>
      </w:pPr>
      <w:r w:rsidRPr="00E87437">
        <w:rPr>
          <w:rFonts w:cstheme="minorHAnsi"/>
          <w:szCs w:val="32"/>
        </w:rPr>
        <w:t xml:space="preserve">Under the RAGs the costs of treating imported liquors are classified as a sewage treatment cost.  Treating sludge liquor requires additional oxygen to be pumped into the treatment process </w:t>
      </w:r>
      <w:proofErr w:type="gramStart"/>
      <w:r w:rsidRPr="00E87437">
        <w:rPr>
          <w:rFonts w:cstheme="minorHAnsi"/>
          <w:szCs w:val="32"/>
        </w:rPr>
        <w:t>as a result of</w:t>
      </w:r>
      <w:proofErr w:type="gramEnd"/>
      <w:r w:rsidRPr="00E87437">
        <w:rPr>
          <w:rFonts w:cstheme="minorHAnsi"/>
          <w:szCs w:val="32"/>
        </w:rPr>
        <w:t xml:space="preserve"> the high Biological Oxygen Demand (BOD) of the liquor.  For each of the 28 Sludge Treatment Centres the volume and BOD strength of the return liquor as a percentage of the total BOD load for the sewage treatment works is calculated. This ratio is applied to the power cost for the sewage treatment works to derive the power cost of sludge liquor treatment. </w:t>
      </w:r>
    </w:p>
    <w:p w14:paraId="0B5CF388" w14:textId="0B36A735" w:rsidR="007D1218" w:rsidRPr="009C3ABF" w:rsidRDefault="007D1218" w:rsidP="007D1218">
      <w:pPr>
        <w:rPr>
          <w:rFonts w:cstheme="minorHAnsi"/>
          <w:szCs w:val="32"/>
        </w:rPr>
      </w:pPr>
      <w:proofErr w:type="gramStart"/>
      <w:r w:rsidRPr="00E87437">
        <w:rPr>
          <w:rFonts w:cstheme="minorHAnsi"/>
          <w:szCs w:val="32"/>
        </w:rPr>
        <w:t>Additionally</w:t>
      </w:r>
      <w:proofErr w:type="gramEnd"/>
      <w:r w:rsidRPr="00E87437">
        <w:rPr>
          <w:rFonts w:cstheme="minorHAnsi"/>
          <w:szCs w:val="32"/>
        </w:rPr>
        <w:t xml:space="preserve"> the maintenance cost for the secondary and tertiary treatment equipment at the sewage treatment works is identified and the liquor BOD ratio is applied to this cost to derive the additional maintenance costs of sludge liquor treatment.  This is small compared to the power cost.</w:t>
      </w:r>
    </w:p>
    <w:p w14:paraId="388F7323" w14:textId="56C19CC1" w:rsidR="007D1218" w:rsidRPr="009C3ABF" w:rsidRDefault="007D1218" w:rsidP="009C3ABF">
      <w:pPr>
        <w:rPr>
          <w:rFonts w:cstheme="minorHAnsi"/>
          <w:szCs w:val="32"/>
        </w:rPr>
      </w:pPr>
      <w:r w:rsidRPr="00E87437">
        <w:rPr>
          <w:rFonts w:cstheme="minorHAnsi"/>
          <w:szCs w:val="32"/>
        </w:rPr>
        <w:t xml:space="preserve">After allocating direct costs, an apportionment of the sewage treatment share of central overhead costs is allocated to liquor treatment pro rata to direct cost.  </w:t>
      </w:r>
    </w:p>
    <w:p w14:paraId="7240C57A" w14:textId="77777777" w:rsidR="007D1218" w:rsidRPr="00E87437" w:rsidRDefault="007D1218" w:rsidP="009C3ABF">
      <w:pPr>
        <w:pStyle w:val="ListParagraph"/>
        <w:numPr>
          <w:ilvl w:val="1"/>
          <w:numId w:val="5"/>
        </w:numPr>
        <w:tabs>
          <w:tab w:val="left" w:pos="915"/>
        </w:tabs>
        <w:ind w:left="567" w:hanging="567"/>
        <w:rPr>
          <w:rFonts w:asciiTheme="minorHAnsi" w:hAnsiTheme="minorHAnsi" w:cstheme="minorHAnsi"/>
          <w:b/>
          <w:sz w:val="22"/>
          <w:szCs w:val="22"/>
        </w:rPr>
      </w:pPr>
      <w:r w:rsidRPr="00E87437">
        <w:rPr>
          <w:rFonts w:asciiTheme="minorHAnsi" w:hAnsiTheme="minorHAnsi" w:cstheme="minorHAnsi"/>
          <w:b/>
          <w:sz w:val="22"/>
          <w:szCs w:val="22"/>
        </w:rPr>
        <w:t xml:space="preserve">Sludge </w:t>
      </w:r>
    </w:p>
    <w:p w14:paraId="39E4C944" w14:textId="77777777" w:rsidR="007D1218" w:rsidRPr="00E87437" w:rsidRDefault="007D1218" w:rsidP="007D1218">
      <w:pPr>
        <w:rPr>
          <w:rFonts w:cstheme="minorHAnsi"/>
          <w:b/>
          <w:sz w:val="20"/>
          <w:szCs w:val="20"/>
        </w:rPr>
      </w:pPr>
    </w:p>
    <w:p w14:paraId="2E6B428E" w14:textId="1545C314" w:rsidR="007D1218" w:rsidRPr="009C3ABF" w:rsidRDefault="007D1218" w:rsidP="007D1218">
      <w:pPr>
        <w:rPr>
          <w:rFonts w:cstheme="minorHAnsi"/>
        </w:rPr>
      </w:pPr>
      <w:r w:rsidRPr="00E87437">
        <w:rPr>
          <w:rFonts w:cstheme="minorHAnsi"/>
        </w:rPr>
        <w:t>The cost of Sludge Transport, Sludge Treatment and Sludge Disposal are each separately identifiable.</w:t>
      </w:r>
    </w:p>
    <w:p w14:paraId="63E502FF" w14:textId="77777777" w:rsidR="007D1218" w:rsidRPr="00E87437" w:rsidRDefault="007D1218" w:rsidP="009C3ABF">
      <w:pPr>
        <w:pStyle w:val="ListParagraph"/>
        <w:numPr>
          <w:ilvl w:val="1"/>
          <w:numId w:val="5"/>
        </w:numPr>
        <w:tabs>
          <w:tab w:val="left" w:pos="915"/>
        </w:tabs>
        <w:ind w:left="567" w:hanging="567"/>
        <w:rPr>
          <w:rFonts w:asciiTheme="minorHAnsi" w:hAnsiTheme="minorHAnsi" w:cstheme="minorHAnsi"/>
          <w:b/>
          <w:sz w:val="22"/>
          <w:szCs w:val="22"/>
        </w:rPr>
      </w:pPr>
      <w:r w:rsidRPr="00E87437">
        <w:rPr>
          <w:rFonts w:asciiTheme="minorHAnsi" w:hAnsiTheme="minorHAnsi" w:cstheme="minorHAnsi"/>
          <w:b/>
          <w:sz w:val="22"/>
          <w:szCs w:val="22"/>
        </w:rPr>
        <w:t xml:space="preserve"> Sludge Transport</w:t>
      </w:r>
    </w:p>
    <w:p w14:paraId="63B0E06E" w14:textId="77777777" w:rsidR="007D1218" w:rsidRPr="00E87437" w:rsidRDefault="007D1218" w:rsidP="007D1218">
      <w:pPr>
        <w:rPr>
          <w:rFonts w:cstheme="minorHAnsi"/>
          <w:sz w:val="20"/>
          <w:szCs w:val="20"/>
        </w:rPr>
      </w:pPr>
    </w:p>
    <w:p w14:paraId="4ABCCAA0" w14:textId="20C0A421" w:rsidR="007D1218" w:rsidRPr="00E87437" w:rsidRDefault="007D1218" w:rsidP="007D1218">
      <w:pPr>
        <w:rPr>
          <w:rFonts w:cstheme="minorHAnsi"/>
        </w:rPr>
      </w:pPr>
      <w:r w:rsidRPr="00E87437">
        <w:rPr>
          <w:rFonts w:cstheme="minorHAnsi"/>
        </w:rPr>
        <w:t>Sludge Transport costs are the costs of transporting sludge from satellite sewage treatment works to one of South West Waters 28 sludge treatment centres.  These movements are known as interworks.  All interworks costs are separately identifiable within the general ledger by expense element and thus allocated to the sludge transport service.</w:t>
      </w:r>
    </w:p>
    <w:p w14:paraId="3777316A" w14:textId="21F12474" w:rsidR="007D1218" w:rsidRPr="009C3ABF" w:rsidRDefault="007D1218" w:rsidP="007D1218">
      <w:pPr>
        <w:rPr>
          <w:rFonts w:cstheme="minorHAnsi"/>
        </w:rPr>
      </w:pPr>
      <w:r w:rsidRPr="00E87437">
        <w:rPr>
          <w:rFonts w:cstheme="minorHAnsi"/>
          <w:szCs w:val="32"/>
        </w:rPr>
        <w:t>After allocating direct costs, an apportionment of the sludge treatment share of central overhead costs is allocated to Sludge Transport pro rata to direct cost.</w:t>
      </w:r>
    </w:p>
    <w:p w14:paraId="72AF9389" w14:textId="77777777" w:rsidR="007D1218" w:rsidRPr="008C4214" w:rsidRDefault="007D1218" w:rsidP="009C3ABF">
      <w:pPr>
        <w:pStyle w:val="ListParagraph"/>
        <w:numPr>
          <w:ilvl w:val="1"/>
          <w:numId w:val="5"/>
        </w:numPr>
        <w:tabs>
          <w:tab w:val="left" w:pos="915"/>
        </w:tabs>
        <w:ind w:left="567" w:hanging="567"/>
        <w:rPr>
          <w:rFonts w:asciiTheme="minorHAnsi" w:hAnsiTheme="minorHAnsi" w:cstheme="minorHAnsi"/>
          <w:b/>
          <w:sz w:val="22"/>
          <w:szCs w:val="22"/>
        </w:rPr>
      </w:pPr>
      <w:r w:rsidRPr="008C4214">
        <w:rPr>
          <w:rFonts w:asciiTheme="minorHAnsi" w:hAnsiTheme="minorHAnsi" w:cstheme="minorHAnsi"/>
          <w:b/>
          <w:sz w:val="22"/>
          <w:szCs w:val="22"/>
        </w:rPr>
        <w:t xml:space="preserve"> Sludge Treatment</w:t>
      </w:r>
    </w:p>
    <w:p w14:paraId="54BBDB6A" w14:textId="77777777" w:rsidR="007D1218" w:rsidRPr="008C4214" w:rsidRDefault="007D1218" w:rsidP="007D1218">
      <w:pPr>
        <w:rPr>
          <w:rFonts w:cstheme="minorHAnsi"/>
          <w:sz w:val="20"/>
          <w:szCs w:val="20"/>
        </w:rPr>
      </w:pPr>
    </w:p>
    <w:p w14:paraId="57D3CDA8" w14:textId="724EB982" w:rsidR="007D1218" w:rsidRPr="009C3ABF" w:rsidRDefault="007D1218" w:rsidP="007D1218">
      <w:pPr>
        <w:rPr>
          <w:rFonts w:cstheme="minorHAnsi"/>
        </w:rPr>
      </w:pPr>
      <w:r w:rsidRPr="00827B52">
        <w:rPr>
          <w:rFonts w:cstheme="minorHAnsi"/>
        </w:rPr>
        <w:t>Sludge Treatment is identified as the cost of treating indigenous and imported sludges at the Company’s 28 sludge treatment centres, each of which is co-located with a sewage treatment works.  The separation of Sewage Treatment cost from Sludge Treatment cost at these 28 sites is partly by management assessment and partly by direct cost allocation as described in section 6.14.</w:t>
      </w:r>
    </w:p>
    <w:p w14:paraId="73857D52" w14:textId="77777777" w:rsidR="007D1218" w:rsidRPr="008C4214" w:rsidRDefault="007D1218" w:rsidP="009C3ABF">
      <w:pPr>
        <w:pStyle w:val="ListParagraph"/>
        <w:numPr>
          <w:ilvl w:val="1"/>
          <w:numId w:val="5"/>
        </w:numPr>
        <w:tabs>
          <w:tab w:val="left" w:pos="915"/>
        </w:tabs>
        <w:ind w:left="567" w:hanging="567"/>
        <w:rPr>
          <w:rFonts w:asciiTheme="minorHAnsi" w:hAnsiTheme="minorHAnsi" w:cstheme="minorHAnsi"/>
          <w:b/>
          <w:sz w:val="22"/>
          <w:szCs w:val="22"/>
        </w:rPr>
      </w:pPr>
      <w:r w:rsidRPr="008C4214">
        <w:rPr>
          <w:rFonts w:asciiTheme="minorHAnsi" w:hAnsiTheme="minorHAnsi" w:cstheme="minorHAnsi"/>
          <w:b/>
          <w:sz w:val="22"/>
          <w:szCs w:val="22"/>
        </w:rPr>
        <w:t xml:space="preserve"> Sludge Disposal</w:t>
      </w:r>
    </w:p>
    <w:p w14:paraId="6325A414" w14:textId="77777777" w:rsidR="007D1218" w:rsidRPr="008C4214" w:rsidRDefault="007D1218" w:rsidP="007D1218">
      <w:pPr>
        <w:rPr>
          <w:rFonts w:cstheme="minorHAnsi"/>
          <w:sz w:val="20"/>
          <w:szCs w:val="20"/>
        </w:rPr>
      </w:pPr>
    </w:p>
    <w:p w14:paraId="361485AF" w14:textId="77777777" w:rsidR="007D1218" w:rsidRPr="0091297D" w:rsidRDefault="007D1218" w:rsidP="007D1218">
      <w:pPr>
        <w:rPr>
          <w:rFonts w:cstheme="minorHAnsi"/>
          <w:i/>
          <w:highlight w:val="yellow"/>
        </w:rPr>
      </w:pPr>
      <w:r w:rsidRPr="008C4214">
        <w:rPr>
          <w:rFonts w:cstheme="minorHAnsi"/>
        </w:rPr>
        <w:t>Sludge disposal costs are the costs of disposing of sludge from the sludge treatment centres. This process is carried out by a single contract and the cost is separately identifiable in the General Ledger by expense element.</w:t>
      </w:r>
      <w:r w:rsidRPr="0091297D">
        <w:rPr>
          <w:rFonts w:cstheme="minorHAnsi"/>
          <w:i/>
          <w:highlight w:val="yellow"/>
        </w:rPr>
        <w:br w:type="page"/>
      </w:r>
    </w:p>
    <w:p w14:paraId="4C594C10" w14:textId="77777777" w:rsidR="007D1218" w:rsidRPr="0091297D" w:rsidRDefault="007D1218" w:rsidP="00DB4B44">
      <w:pPr>
        <w:pStyle w:val="Heading1"/>
        <w:rPr>
          <w:highlight w:val="yellow"/>
        </w:rPr>
      </w:pPr>
      <w:bookmarkStart w:id="26" w:name="_Toc172019348"/>
      <w:bookmarkEnd w:id="20"/>
      <w:bookmarkEnd w:id="21"/>
      <w:r w:rsidRPr="00377E7B">
        <w:lastRenderedPageBreak/>
        <w:t>RETAIL COST ALLOCATIONS</w:t>
      </w:r>
      <w:bookmarkEnd w:id="26"/>
      <w:r w:rsidRPr="00377E7B">
        <w:t xml:space="preserve"> </w:t>
      </w:r>
      <w:r w:rsidRPr="00377E7B">
        <w:tab/>
      </w:r>
    </w:p>
    <w:p w14:paraId="18C7D237" w14:textId="77777777" w:rsidR="007D1218" w:rsidRPr="0091297D" w:rsidRDefault="007D1218" w:rsidP="007D1218">
      <w:pPr>
        <w:rPr>
          <w:rFonts w:cs="Arial"/>
          <w:color w:val="000000"/>
          <w:highlight w:val="yellow"/>
        </w:rPr>
      </w:pPr>
    </w:p>
    <w:p w14:paraId="44D837A3" w14:textId="77777777" w:rsidR="007D1218" w:rsidRPr="0091297D" w:rsidRDefault="007D1218" w:rsidP="009C3ABF">
      <w:pPr>
        <w:pStyle w:val="ListParagraph"/>
        <w:numPr>
          <w:ilvl w:val="0"/>
          <w:numId w:val="5"/>
        </w:numPr>
        <w:rPr>
          <w:rFonts w:asciiTheme="minorHAnsi" w:hAnsiTheme="minorHAnsi" w:cs="Arial"/>
          <w:vanish/>
          <w:color w:val="000000"/>
          <w:sz w:val="22"/>
          <w:szCs w:val="22"/>
          <w:highlight w:val="yellow"/>
        </w:rPr>
      </w:pPr>
    </w:p>
    <w:p w14:paraId="35DB2FC6" w14:textId="77777777" w:rsidR="007D1218" w:rsidRPr="00F24BE4" w:rsidRDefault="007D1218" w:rsidP="009C3ABF">
      <w:pPr>
        <w:pStyle w:val="ListParagraph"/>
        <w:numPr>
          <w:ilvl w:val="1"/>
          <w:numId w:val="5"/>
        </w:numPr>
        <w:ind w:left="567" w:hanging="567"/>
        <w:rPr>
          <w:rFonts w:asciiTheme="minorHAnsi" w:hAnsiTheme="minorHAnsi" w:cs="Arial"/>
          <w:color w:val="000000"/>
          <w:sz w:val="22"/>
          <w:szCs w:val="22"/>
        </w:rPr>
      </w:pPr>
      <w:r>
        <w:rPr>
          <w:rFonts w:asciiTheme="minorHAnsi" w:hAnsiTheme="minorHAnsi" w:cs="Arial"/>
          <w:color w:val="000000"/>
          <w:sz w:val="22"/>
          <w:szCs w:val="22"/>
        </w:rPr>
        <w:t xml:space="preserve">SWW have exited the non-household (NHH) market, although SWW has continued to assist in the delivery of some NHH activities (developer services, initial operation contacts and </w:t>
      </w:r>
      <w:proofErr w:type="gramStart"/>
      <w:r>
        <w:rPr>
          <w:rFonts w:asciiTheme="minorHAnsi" w:hAnsiTheme="minorHAnsi" w:cs="Arial"/>
          <w:color w:val="000000"/>
          <w:sz w:val="22"/>
          <w:szCs w:val="22"/>
        </w:rPr>
        <w:t>third party</w:t>
      </w:r>
      <w:proofErr w:type="gramEnd"/>
      <w:r>
        <w:rPr>
          <w:rFonts w:asciiTheme="minorHAnsi" w:hAnsiTheme="minorHAnsi" w:cs="Arial"/>
          <w:color w:val="000000"/>
          <w:sz w:val="22"/>
          <w:szCs w:val="22"/>
        </w:rPr>
        <w:t xml:space="preserve"> services) in accordance with Ofwat guidance 100% of these costs have been allocated to Wholesale.</w:t>
      </w:r>
    </w:p>
    <w:p w14:paraId="34C48450" w14:textId="77777777" w:rsidR="007D1218" w:rsidRDefault="007D1218" w:rsidP="007D1218">
      <w:pPr>
        <w:pStyle w:val="ListParagraph"/>
        <w:ind w:left="567"/>
        <w:rPr>
          <w:rFonts w:asciiTheme="minorHAnsi" w:hAnsiTheme="minorHAnsi" w:cs="Arial"/>
          <w:color w:val="000000"/>
          <w:sz w:val="22"/>
          <w:szCs w:val="22"/>
          <w:highlight w:val="yellow"/>
        </w:rPr>
      </w:pPr>
    </w:p>
    <w:p w14:paraId="7214D28B" w14:textId="77777777" w:rsidR="007D1218" w:rsidRPr="002F7BC6" w:rsidRDefault="007D1218" w:rsidP="009C3ABF">
      <w:pPr>
        <w:pStyle w:val="ListParagraph"/>
        <w:numPr>
          <w:ilvl w:val="1"/>
          <w:numId w:val="5"/>
        </w:numPr>
        <w:ind w:left="567" w:hanging="567"/>
        <w:rPr>
          <w:rFonts w:asciiTheme="minorHAnsi" w:hAnsiTheme="minorHAnsi" w:cs="Arial"/>
          <w:color w:val="000000"/>
          <w:sz w:val="22"/>
          <w:szCs w:val="22"/>
        </w:rPr>
      </w:pPr>
      <w:r w:rsidRPr="002F7BC6">
        <w:rPr>
          <w:rFonts w:asciiTheme="minorHAnsi" w:hAnsiTheme="minorHAnsi" w:cs="Arial"/>
          <w:color w:val="000000"/>
          <w:sz w:val="22"/>
          <w:szCs w:val="22"/>
        </w:rPr>
        <w:t xml:space="preserve">The RAG definitions for retail activities were reviewed and used to identify and apply direct cost allocations to costs that are separately identifiable from the general ledger coding system </w:t>
      </w:r>
      <w:proofErr w:type="gramStart"/>
      <w:r w:rsidRPr="002F7BC6">
        <w:rPr>
          <w:rFonts w:asciiTheme="minorHAnsi" w:hAnsiTheme="minorHAnsi" w:cs="Arial"/>
          <w:color w:val="000000"/>
          <w:sz w:val="22"/>
          <w:szCs w:val="22"/>
        </w:rPr>
        <w:t>e.g.</w:t>
      </w:r>
      <w:proofErr w:type="gramEnd"/>
      <w:r w:rsidRPr="002F7BC6">
        <w:rPr>
          <w:rFonts w:asciiTheme="minorHAnsi" w:hAnsiTheme="minorHAnsi" w:cs="Arial"/>
          <w:color w:val="000000"/>
          <w:sz w:val="22"/>
          <w:szCs w:val="22"/>
        </w:rPr>
        <w:t xml:space="preserve"> meter reading costs, bad debt expense, etc. </w:t>
      </w:r>
    </w:p>
    <w:p w14:paraId="23DE0467" w14:textId="77777777" w:rsidR="007D1218" w:rsidRPr="002F7BC6" w:rsidRDefault="007D1218" w:rsidP="007D1218">
      <w:pPr>
        <w:pStyle w:val="ListParagraph"/>
        <w:rPr>
          <w:rFonts w:asciiTheme="minorHAnsi" w:hAnsiTheme="minorHAnsi" w:cs="Arial"/>
          <w:color w:val="000000"/>
          <w:sz w:val="22"/>
          <w:szCs w:val="22"/>
        </w:rPr>
      </w:pPr>
    </w:p>
    <w:p w14:paraId="175B9818" w14:textId="77777777" w:rsidR="007D1218" w:rsidRPr="002F7BC6" w:rsidRDefault="007D1218" w:rsidP="009C3ABF">
      <w:pPr>
        <w:pStyle w:val="ListParagraph"/>
        <w:numPr>
          <w:ilvl w:val="1"/>
          <w:numId w:val="5"/>
        </w:numPr>
        <w:ind w:left="567" w:hanging="567"/>
        <w:rPr>
          <w:rFonts w:asciiTheme="minorHAnsi" w:hAnsiTheme="minorHAnsi" w:cs="Arial"/>
          <w:color w:val="000000"/>
          <w:sz w:val="22"/>
          <w:szCs w:val="22"/>
        </w:rPr>
      </w:pPr>
      <w:r w:rsidRPr="002F7BC6">
        <w:rPr>
          <w:rFonts w:asciiTheme="minorHAnsi" w:hAnsiTheme="minorHAnsi" w:cs="Arial"/>
          <w:color w:val="000000"/>
          <w:sz w:val="22"/>
          <w:szCs w:val="22"/>
        </w:rPr>
        <w:t xml:space="preserve">In other cases, whilst costs are readily identified from the general ledger, they are not directly attributable to one </w:t>
      </w:r>
      <w:proofErr w:type="gramStart"/>
      <w:r w:rsidRPr="002F7BC6">
        <w:rPr>
          <w:rFonts w:asciiTheme="minorHAnsi" w:hAnsiTheme="minorHAnsi" w:cs="Arial"/>
          <w:color w:val="000000"/>
          <w:sz w:val="22"/>
          <w:szCs w:val="22"/>
        </w:rPr>
        <w:t>particular activity</w:t>
      </w:r>
      <w:proofErr w:type="gramEnd"/>
      <w:r w:rsidRPr="002F7BC6">
        <w:rPr>
          <w:rFonts w:asciiTheme="minorHAnsi" w:hAnsiTheme="minorHAnsi" w:cs="Arial"/>
          <w:color w:val="000000"/>
          <w:sz w:val="22"/>
          <w:szCs w:val="22"/>
        </w:rPr>
        <w:t xml:space="preserve"> line within the retail unit.  Where this is the case, the most appropriate form of apportionment or allocation is identified, by the appropriate Management team, and applied to the cost centre.  </w:t>
      </w:r>
    </w:p>
    <w:p w14:paraId="2FE69ECC" w14:textId="77777777" w:rsidR="007D1218" w:rsidRPr="002F7BC6" w:rsidRDefault="007D1218" w:rsidP="007D1218">
      <w:pPr>
        <w:pStyle w:val="ListParagraph"/>
        <w:rPr>
          <w:rFonts w:asciiTheme="minorHAnsi" w:hAnsiTheme="minorHAnsi" w:cs="Arial"/>
          <w:color w:val="000000"/>
          <w:sz w:val="22"/>
          <w:szCs w:val="22"/>
        </w:rPr>
      </w:pPr>
    </w:p>
    <w:p w14:paraId="3D66B5ED" w14:textId="77777777" w:rsidR="007D1218" w:rsidRPr="002F7BC6" w:rsidRDefault="007D1218" w:rsidP="009C3ABF">
      <w:pPr>
        <w:pStyle w:val="ListParagraph"/>
        <w:numPr>
          <w:ilvl w:val="1"/>
          <w:numId w:val="5"/>
        </w:numPr>
        <w:ind w:left="567" w:hanging="567"/>
        <w:rPr>
          <w:rFonts w:asciiTheme="minorHAnsi" w:hAnsiTheme="minorHAnsi" w:cs="Arial"/>
          <w:color w:val="000000"/>
          <w:sz w:val="22"/>
          <w:szCs w:val="22"/>
        </w:rPr>
      </w:pPr>
      <w:r w:rsidRPr="002F7BC6">
        <w:rPr>
          <w:rFonts w:asciiTheme="minorHAnsi" w:hAnsiTheme="minorHAnsi" w:cs="Arial"/>
          <w:color w:val="000000"/>
          <w:sz w:val="22"/>
          <w:szCs w:val="22"/>
        </w:rPr>
        <w:t>The table below lists the retail activities included within retail total operating expenditure and outlines the sources of the cost contained within each line and where apportionments have been used.</w:t>
      </w:r>
    </w:p>
    <w:p w14:paraId="285E1952" w14:textId="77777777" w:rsidR="007D1218" w:rsidRPr="002F7BC6" w:rsidRDefault="007D1218" w:rsidP="007D1218">
      <w:pPr>
        <w:rPr>
          <w:rFonts w:cs="Arial"/>
        </w:rPr>
      </w:pPr>
    </w:p>
    <w:tbl>
      <w:tblPr>
        <w:tblW w:w="779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6237"/>
      </w:tblGrid>
      <w:tr w:rsidR="007D1218" w:rsidRPr="002F7BC6" w14:paraId="70A3D714" w14:textId="77777777" w:rsidTr="008B45DA">
        <w:trPr>
          <w:tblHeader/>
        </w:trPr>
        <w:tc>
          <w:tcPr>
            <w:tcW w:w="1559" w:type="dxa"/>
            <w:shd w:val="clear" w:color="auto" w:fill="D5DCE4" w:themeFill="text2" w:themeFillTint="33"/>
          </w:tcPr>
          <w:p w14:paraId="3CFE188F" w14:textId="77777777" w:rsidR="007D1218" w:rsidRPr="002F7BC6" w:rsidRDefault="007D1218" w:rsidP="008B45DA">
            <w:pPr>
              <w:spacing w:before="120"/>
              <w:rPr>
                <w:rFonts w:cs="Arial"/>
                <w:b/>
                <w:sz w:val="20"/>
                <w:szCs w:val="20"/>
              </w:rPr>
            </w:pPr>
            <w:r w:rsidRPr="002F7BC6">
              <w:rPr>
                <w:rFonts w:cs="Arial"/>
                <w:b/>
                <w:sz w:val="20"/>
                <w:szCs w:val="20"/>
              </w:rPr>
              <w:t>Operating Expenditure Activity</w:t>
            </w:r>
          </w:p>
        </w:tc>
        <w:tc>
          <w:tcPr>
            <w:tcW w:w="6237" w:type="dxa"/>
            <w:shd w:val="clear" w:color="auto" w:fill="D5DCE4" w:themeFill="text2" w:themeFillTint="33"/>
          </w:tcPr>
          <w:p w14:paraId="7B010182" w14:textId="77777777" w:rsidR="007D1218" w:rsidRPr="002F7BC6" w:rsidRDefault="007D1218" w:rsidP="008B45DA">
            <w:pPr>
              <w:spacing w:before="120"/>
              <w:rPr>
                <w:rFonts w:cs="Arial"/>
                <w:b/>
                <w:sz w:val="20"/>
                <w:szCs w:val="20"/>
              </w:rPr>
            </w:pPr>
            <w:r w:rsidRPr="002F7BC6">
              <w:rPr>
                <w:rFonts w:cs="Arial"/>
                <w:b/>
                <w:sz w:val="20"/>
                <w:szCs w:val="20"/>
              </w:rPr>
              <w:t>Costs included and method of allocation</w:t>
            </w:r>
          </w:p>
        </w:tc>
      </w:tr>
      <w:tr w:rsidR="007D1218" w:rsidRPr="002F7BC6" w14:paraId="112FD7F5" w14:textId="77777777" w:rsidTr="008B45DA">
        <w:tc>
          <w:tcPr>
            <w:tcW w:w="1559" w:type="dxa"/>
          </w:tcPr>
          <w:p w14:paraId="587F0809" w14:textId="77777777" w:rsidR="007D1218" w:rsidRPr="002F7BC6" w:rsidRDefault="007D1218" w:rsidP="008B45DA">
            <w:pPr>
              <w:spacing w:before="120"/>
              <w:rPr>
                <w:rFonts w:cs="Arial"/>
                <w:sz w:val="20"/>
                <w:szCs w:val="20"/>
              </w:rPr>
            </w:pPr>
            <w:r w:rsidRPr="002F7BC6">
              <w:rPr>
                <w:rFonts w:cs="Arial"/>
                <w:sz w:val="20"/>
                <w:szCs w:val="20"/>
              </w:rPr>
              <w:t>Customer Services</w:t>
            </w:r>
          </w:p>
        </w:tc>
        <w:tc>
          <w:tcPr>
            <w:tcW w:w="6237" w:type="dxa"/>
          </w:tcPr>
          <w:p w14:paraId="1C641F28" w14:textId="77777777" w:rsidR="007D1218" w:rsidRPr="002F7BC6" w:rsidRDefault="007D1218" w:rsidP="008B45DA">
            <w:pPr>
              <w:spacing w:before="120"/>
              <w:rPr>
                <w:rFonts w:cs="Arial"/>
                <w:sz w:val="20"/>
                <w:szCs w:val="20"/>
              </w:rPr>
            </w:pPr>
            <w:r w:rsidRPr="002F7BC6">
              <w:rPr>
                <w:rFonts w:cs="Arial"/>
                <w:sz w:val="20"/>
                <w:szCs w:val="20"/>
              </w:rPr>
              <w:t xml:space="preserve">This represents the costs associated with Billing, Payment Handling, remittance and cash handling, Charitable Trust donations, Vulnerable customer schemes, </w:t>
            </w:r>
            <w:proofErr w:type="gramStart"/>
            <w:r w:rsidRPr="002F7BC6">
              <w:rPr>
                <w:rFonts w:cs="Arial"/>
                <w:sz w:val="20"/>
                <w:szCs w:val="20"/>
              </w:rPr>
              <w:t>Non-Network</w:t>
            </w:r>
            <w:proofErr w:type="gramEnd"/>
            <w:r w:rsidRPr="002F7BC6">
              <w:rPr>
                <w:rFonts w:cs="Arial"/>
                <w:sz w:val="20"/>
                <w:szCs w:val="20"/>
              </w:rPr>
              <w:t xml:space="preserve"> customer enquiries and complaints, Network Customer enquiries and complaints.</w:t>
            </w:r>
          </w:p>
          <w:p w14:paraId="480C0BDC" w14:textId="77777777" w:rsidR="007D1218" w:rsidRPr="002F7BC6" w:rsidRDefault="007D1218" w:rsidP="008B45DA">
            <w:pPr>
              <w:spacing w:before="120"/>
              <w:rPr>
                <w:rFonts w:cs="Arial"/>
                <w:sz w:val="20"/>
                <w:szCs w:val="20"/>
              </w:rPr>
            </w:pPr>
            <w:proofErr w:type="gramStart"/>
            <w:r w:rsidRPr="002F7BC6">
              <w:rPr>
                <w:rFonts w:cs="Arial"/>
                <w:sz w:val="20"/>
                <w:szCs w:val="20"/>
              </w:rPr>
              <w:t>The majority of</w:t>
            </w:r>
            <w:proofErr w:type="gramEnd"/>
            <w:r w:rsidRPr="002F7BC6">
              <w:rPr>
                <w:rFonts w:cs="Arial"/>
                <w:sz w:val="20"/>
                <w:szCs w:val="20"/>
              </w:rPr>
              <w:t xml:space="preserve"> customer services cost is directly allocated from the contract cost of Source Contact Management Limited based on an assessment of time spent on specific customer services activities.</w:t>
            </w:r>
          </w:p>
        </w:tc>
      </w:tr>
      <w:tr w:rsidR="007D1218" w:rsidRPr="002F7BC6" w14:paraId="238FD631" w14:textId="77777777" w:rsidTr="008B45DA">
        <w:tc>
          <w:tcPr>
            <w:tcW w:w="1559" w:type="dxa"/>
          </w:tcPr>
          <w:p w14:paraId="737C8E18" w14:textId="77777777" w:rsidR="007D1218" w:rsidRPr="002F7BC6" w:rsidRDefault="007D1218" w:rsidP="008B45DA">
            <w:pPr>
              <w:spacing w:before="120"/>
              <w:rPr>
                <w:rFonts w:cs="Arial"/>
                <w:sz w:val="20"/>
                <w:szCs w:val="20"/>
              </w:rPr>
            </w:pPr>
            <w:r w:rsidRPr="002F7BC6">
              <w:rPr>
                <w:rFonts w:cs="Arial"/>
                <w:sz w:val="20"/>
                <w:szCs w:val="20"/>
              </w:rPr>
              <w:t>Debt Management</w:t>
            </w:r>
          </w:p>
        </w:tc>
        <w:tc>
          <w:tcPr>
            <w:tcW w:w="6237" w:type="dxa"/>
          </w:tcPr>
          <w:p w14:paraId="0C64227D" w14:textId="77777777" w:rsidR="007D1218" w:rsidRPr="002F7BC6" w:rsidRDefault="007D1218" w:rsidP="008B45DA">
            <w:pPr>
              <w:spacing w:before="120"/>
              <w:rPr>
                <w:rFonts w:cs="Arial"/>
                <w:sz w:val="20"/>
                <w:szCs w:val="20"/>
              </w:rPr>
            </w:pPr>
            <w:r w:rsidRPr="002F7BC6">
              <w:rPr>
                <w:rFonts w:cs="Arial"/>
                <w:sz w:val="20"/>
                <w:szCs w:val="20"/>
              </w:rPr>
              <w:t>Includes all costs relating to the management of debt recovery, including monitoring debt, issuing reminders and undertaking follow up calls. Managing external debt collection routes and notification of disconnection to non-households.</w:t>
            </w:r>
          </w:p>
          <w:p w14:paraId="788BBAF2" w14:textId="77777777" w:rsidR="007D1218" w:rsidRPr="002F7BC6" w:rsidRDefault="007D1218" w:rsidP="008B45DA">
            <w:pPr>
              <w:spacing w:before="120"/>
              <w:rPr>
                <w:rFonts w:cs="Arial"/>
                <w:sz w:val="20"/>
                <w:szCs w:val="20"/>
              </w:rPr>
            </w:pPr>
            <w:r w:rsidRPr="002F7BC6">
              <w:rPr>
                <w:rFonts w:cs="Arial"/>
                <w:sz w:val="20"/>
                <w:szCs w:val="20"/>
              </w:rPr>
              <w:t>The majority of debt management cost is directly allocated from the contract cost of Source Contact Management Limited based on an assessment of time spent on specific debt management activities.</w:t>
            </w:r>
          </w:p>
        </w:tc>
      </w:tr>
      <w:tr w:rsidR="007D1218" w:rsidRPr="002F7BC6" w14:paraId="3149068F" w14:textId="77777777" w:rsidTr="008B45DA">
        <w:tc>
          <w:tcPr>
            <w:tcW w:w="1559" w:type="dxa"/>
          </w:tcPr>
          <w:p w14:paraId="6018EE70" w14:textId="77777777" w:rsidR="007D1218" w:rsidRPr="002F7BC6" w:rsidRDefault="007D1218" w:rsidP="008B45DA">
            <w:pPr>
              <w:spacing w:before="120"/>
              <w:rPr>
                <w:rFonts w:cs="Arial"/>
                <w:sz w:val="20"/>
                <w:szCs w:val="20"/>
              </w:rPr>
            </w:pPr>
            <w:r w:rsidRPr="002F7BC6">
              <w:rPr>
                <w:rFonts w:cs="Arial"/>
                <w:sz w:val="20"/>
                <w:szCs w:val="20"/>
              </w:rPr>
              <w:t>Doubtful debts</w:t>
            </w:r>
          </w:p>
        </w:tc>
        <w:tc>
          <w:tcPr>
            <w:tcW w:w="6237" w:type="dxa"/>
          </w:tcPr>
          <w:p w14:paraId="37803A52" w14:textId="77777777" w:rsidR="007D1218" w:rsidRPr="002F7BC6" w:rsidRDefault="007D1218" w:rsidP="008B45DA">
            <w:pPr>
              <w:spacing w:before="120"/>
              <w:rPr>
                <w:rFonts w:cs="Arial"/>
                <w:sz w:val="20"/>
                <w:szCs w:val="20"/>
              </w:rPr>
            </w:pPr>
            <w:r w:rsidRPr="002F7BC6">
              <w:rPr>
                <w:rFonts w:cs="Arial"/>
                <w:sz w:val="20"/>
                <w:szCs w:val="20"/>
              </w:rPr>
              <w:t xml:space="preserve">Relates to the charge for bad and doubtful debts. </w:t>
            </w:r>
          </w:p>
          <w:p w14:paraId="4D4A2A63" w14:textId="77777777" w:rsidR="007D1218" w:rsidRPr="002F7BC6" w:rsidRDefault="007D1218" w:rsidP="008B45DA">
            <w:pPr>
              <w:spacing w:before="120"/>
              <w:rPr>
                <w:rFonts w:cs="Arial"/>
                <w:sz w:val="20"/>
                <w:szCs w:val="20"/>
              </w:rPr>
            </w:pPr>
            <w:r w:rsidRPr="002F7BC6">
              <w:rPr>
                <w:rFonts w:cs="Arial"/>
                <w:sz w:val="20"/>
                <w:szCs w:val="20"/>
              </w:rPr>
              <w:t>The total charges are identified from the general ledger</w:t>
            </w:r>
          </w:p>
        </w:tc>
      </w:tr>
      <w:tr w:rsidR="007D1218" w:rsidRPr="0091297D" w14:paraId="52F4A317" w14:textId="77777777" w:rsidTr="008B45DA">
        <w:tc>
          <w:tcPr>
            <w:tcW w:w="1559" w:type="dxa"/>
          </w:tcPr>
          <w:p w14:paraId="598D79AF" w14:textId="77777777" w:rsidR="007D1218" w:rsidRPr="002F7BC6" w:rsidRDefault="007D1218" w:rsidP="008B45DA">
            <w:pPr>
              <w:spacing w:before="120"/>
              <w:rPr>
                <w:rFonts w:cs="Arial"/>
                <w:sz w:val="20"/>
                <w:szCs w:val="20"/>
              </w:rPr>
            </w:pPr>
            <w:r w:rsidRPr="002F7BC6">
              <w:rPr>
                <w:rFonts w:cs="Arial"/>
                <w:sz w:val="20"/>
                <w:szCs w:val="20"/>
              </w:rPr>
              <w:t>Meter Reading</w:t>
            </w:r>
          </w:p>
        </w:tc>
        <w:tc>
          <w:tcPr>
            <w:tcW w:w="6237" w:type="dxa"/>
          </w:tcPr>
          <w:p w14:paraId="23821155" w14:textId="77777777" w:rsidR="007D1218" w:rsidRPr="002F7BC6" w:rsidRDefault="007D1218" w:rsidP="008B45DA">
            <w:pPr>
              <w:spacing w:before="120"/>
              <w:rPr>
                <w:rFonts w:cs="Arial"/>
                <w:sz w:val="20"/>
                <w:szCs w:val="20"/>
              </w:rPr>
            </w:pPr>
            <w:r w:rsidRPr="002F7BC6">
              <w:rPr>
                <w:rFonts w:cs="Arial"/>
                <w:sz w:val="20"/>
                <w:szCs w:val="20"/>
              </w:rPr>
              <w:t xml:space="preserve">Includes all costs associated with meter reading including supervising and managing meter readers. </w:t>
            </w:r>
          </w:p>
          <w:p w14:paraId="4FDFACCA" w14:textId="77777777" w:rsidR="007D1218" w:rsidRPr="002F7BC6" w:rsidRDefault="007D1218" w:rsidP="008B45DA">
            <w:pPr>
              <w:spacing w:before="120"/>
              <w:rPr>
                <w:rFonts w:cs="Arial"/>
                <w:sz w:val="20"/>
                <w:szCs w:val="20"/>
              </w:rPr>
            </w:pPr>
            <w:r w:rsidRPr="002F7BC6">
              <w:rPr>
                <w:rFonts w:cs="Arial"/>
                <w:sz w:val="20"/>
                <w:szCs w:val="20"/>
              </w:rPr>
              <w:t xml:space="preserve">The cost of meter readers is specifically identified from the general ledger. The </w:t>
            </w:r>
            <w:proofErr w:type="gramStart"/>
            <w:r w:rsidRPr="002F7BC6">
              <w:rPr>
                <w:rFonts w:cs="Arial"/>
                <w:sz w:val="20"/>
                <w:szCs w:val="20"/>
              </w:rPr>
              <w:t>cost of service</w:t>
            </w:r>
            <w:proofErr w:type="gramEnd"/>
            <w:r w:rsidRPr="002F7BC6">
              <w:rPr>
                <w:rFonts w:cs="Arial"/>
                <w:sz w:val="20"/>
                <w:szCs w:val="20"/>
              </w:rPr>
              <w:t xml:space="preserve"> delivery managers in managing meter reading </w:t>
            </w:r>
            <w:r w:rsidRPr="002F7BC6">
              <w:rPr>
                <w:rFonts w:cs="Arial"/>
                <w:sz w:val="20"/>
                <w:szCs w:val="20"/>
              </w:rPr>
              <w:lastRenderedPageBreak/>
              <w:t>activities is allocated from specific cost centres in the general ledger based on a time assessment.</w:t>
            </w:r>
          </w:p>
        </w:tc>
      </w:tr>
      <w:tr w:rsidR="007D1218" w:rsidRPr="002F7BC6" w14:paraId="0FF45109" w14:textId="77777777" w:rsidTr="008B45DA">
        <w:tc>
          <w:tcPr>
            <w:tcW w:w="1559" w:type="dxa"/>
          </w:tcPr>
          <w:p w14:paraId="0E217DCE" w14:textId="77777777" w:rsidR="007D1218" w:rsidRPr="002F7BC6" w:rsidRDefault="007D1218" w:rsidP="008B45DA">
            <w:pPr>
              <w:spacing w:before="120"/>
              <w:rPr>
                <w:rFonts w:cs="Arial"/>
                <w:sz w:val="20"/>
                <w:szCs w:val="20"/>
              </w:rPr>
            </w:pPr>
            <w:r w:rsidRPr="002F7BC6">
              <w:rPr>
                <w:rFonts w:cs="Arial"/>
                <w:sz w:val="20"/>
                <w:szCs w:val="20"/>
              </w:rPr>
              <w:lastRenderedPageBreak/>
              <w:t>Services to Developers</w:t>
            </w:r>
          </w:p>
        </w:tc>
        <w:tc>
          <w:tcPr>
            <w:tcW w:w="6237" w:type="dxa"/>
          </w:tcPr>
          <w:p w14:paraId="35E3F026" w14:textId="77777777" w:rsidR="007D1218" w:rsidRPr="002F7BC6" w:rsidRDefault="007D1218" w:rsidP="008B45DA">
            <w:pPr>
              <w:spacing w:before="120"/>
              <w:rPr>
                <w:rFonts w:cs="Arial"/>
                <w:sz w:val="20"/>
                <w:szCs w:val="20"/>
              </w:rPr>
            </w:pPr>
            <w:r w:rsidRPr="002F7BC6">
              <w:rPr>
                <w:rFonts w:cs="Arial"/>
                <w:sz w:val="20"/>
                <w:szCs w:val="20"/>
              </w:rPr>
              <w:t>Represents the cost of providing developer services including:</w:t>
            </w:r>
          </w:p>
          <w:p w14:paraId="0480B102" w14:textId="77777777" w:rsidR="007D1218" w:rsidRPr="002F7BC6" w:rsidRDefault="007D1218" w:rsidP="009C3ABF">
            <w:pPr>
              <w:pStyle w:val="ListParagraph"/>
              <w:numPr>
                <w:ilvl w:val="0"/>
                <w:numId w:val="7"/>
              </w:numPr>
              <w:spacing w:before="120"/>
              <w:rPr>
                <w:rFonts w:asciiTheme="minorHAnsi" w:hAnsiTheme="minorHAnsi" w:cs="Arial"/>
                <w:sz w:val="20"/>
                <w:szCs w:val="20"/>
              </w:rPr>
            </w:pPr>
            <w:r w:rsidRPr="002F7BC6">
              <w:rPr>
                <w:rFonts w:asciiTheme="minorHAnsi" w:hAnsiTheme="minorHAnsi" w:cs="Arial"/>
                <w:sz w:val="20"/>
                <w:szCs w:val="20"/>
              </w:rPr>
              <w:t xml:space="preserve">Providing developer information, dealing with questions from developers where physical aspects of infrastructure are required to change. Investigating and advising on implications </w:t>
            </w:r>
            <w:proofErr w:type="gramStart"/>
            <w:r w:rsidRPr="002F7BC6">
              <w:rPr>
                <w:rFonts w:asciiTheme="minorHAnsi" w:hAnsiTheme="minorHAnsi" w:cs="Arial"/>
                <w:sz w:val="20"/>
                <w:szCs w:val="20"/>
              </w:rPr>
              <w:t>and;</w:t>
            </w:r>
            <w:proofErr w:type="gramEnd"/>
          </w:p>
          <w:p w14:paraId="58134CFA" w14:textId="77777777" w:rsidR="007D1218" w:rsidRPr="002F7BC6" w:rsidRDefault="007D1218" w:rsidP="009C3ABF">
            <w:pPr>
              <w:pStyle w:val="ListParagraph"/>
              <w:numPr>
                <w:ilvl w:val="0"/>
                <w:numId w:val="7"/>
              </w:numPr>
              <w:spacing w:before="120"/>
              <w:rPr>
                <w:rFonts w:asciiTheme="minorHAnsi" w:hAnsiTheme="minorHAnsi" w:cs="Arial"/>
                <w:sz w:val="20"/>
                <w:szCs w:val="20"/>
              </w:rPr>
            </w:pPr>
            <w:r w:rsidRPr="002F7BC6">
              <w:rPr>
                <w:rFonts w:asciiTheme="minorHAnsi" w:hAnsiTheme="minorHAnsi" w:cs="Arial"/>
                <w:sz w:val="20"/>
                <w:szCs w:val="20"/>
              </w:rPr>
              <w:t>Administration of new connections</w:t>
            </w:r>
          </w:p>
          <w:p w14:paraId="777CF5F3" w14:textId="77777777" w:rsidR="007D1218" w:rsidRPr="002F7BC6" w:rsidRDefault="007D1218" w:rsidP="008B45DA">
            <w:pPr>
              <w:spacing w:before="120"/>
              <w:rPr>
                <w:rFonts w:cs="Arial"/>
                <w:sz w:val="20"/>
                <w:szCs w:val="20"/>
              </w:rPr>
            </w:pPr>
            <w:r w:rsidRPr="002F7BC6">
              <w:rPr>
                <w:rFonts w:cs="Arial"/>
                <w:sz w:val="20"/>
                <w:szCs w:val="20"/>
              </w:rPr>
              <w:t xml:space="preserve">Cost </w:t>
            </w:r>
            <w:proofErr w:type="gramStart"/>
            <w:r w:rsidRPr="002F7BC6">
              <w:rPr>
                <w:rFonts w:cs="Arial"/>
                <w:sz w:val="20"/>
                <w:szCs w:val="20"/>
              </w:rPr>
              <w:t>are</w:t>
            </w:r>
            <w:proofErr w:type="gramEnd"/>
            <w:r w:rsidRPr="002F7BC6">
              <w:rPr>
                <w:rFonts w:cs="Arial"/>
                <w:sz w:val="20"/>
                <w:szCs w:val="20"/>
              </w:rPr>
              <w:t xml:space="preserve"> specifically identified from the general ledger and wholly attributed to </w:t>
            </w:r>
            <w:r>
              <w:rPr>
                <w:rFonts w:cs="Arial"/>
                <w:sz w:val="20"/>
                <w:szCs w:val="20"/>
              </w:rPr>
              <w:t>wholesale</w:t>
            </w:r>
            <w:r w:rsidRPr="002F7BC6">
              <w:rPr>
                <w:rFonts w:cs="Arial"/>
                <w:sz w:val="20"/>
                <w:szCs w:val="20"/>
              </w:rPr>
              <w:t>.</w:t>
            </w:r>
          </w:p>
        </w:tc>
      </w:tr>
      <w:tr w:rsidR="007D1218" w:rsidRPr="002F7BC6" w14:paraId="297AFE18" w14:textId="77777777" w:rsidTr="008B45DA">
        <w:tc>
          <w:tcPr>
            <w:tcW w:w="1559" w:type="dxa"/>
          </w:tcPr>
          <w:p w14:paraId="2AD56D29" w14:textId="77777777" w:rsidR="007D1218" w:rsidRPr="002F7BC6" w:rsidRDefault="007D1218" w:rsidP="008B45DA">
            <w:pPr>
              <w:spacing w:before="120"/>
              <w:rPr>
                <w:rFonts w:cs="Arial"/>
                <w:sz w:val="20"/>
                <w:szCs w:val="20"/>
              </w:rPr>
            </w:pPr>
            <w:r w:rsidRPr="002F7BC6">
              <w:rPr>
                <w:rFonts w:cs="Arial"/>
                <w:sz w:val="20"/>
                <w:szCs w:val="20"/>
              </w:rPr>
              <w:t>Other operating expenditure</w:t>
            </w:r>
          </w:p>
        </w:tc>
        <w:tc>
          <w:tcPr>
            <w:tcW w:w="6237" w:type="dxa"/>
          </w:tcPr>
          <w:p w14:paraId="58C97BC9" w14:textId="77777777" w:rsidR="007D1218" w:rsidRPr="002F7BC6" w:rsidRDefault="007D1218" w:rsidP="008B45DA">
            <w:pPr>
              <w:spacing w:before="120"/>
              <w:rPr>
                <w:rFonts w:cs="Arial"/>
                <w:sz w:val="20"/>
                <w:szCs w:val="20"/>
              </w:rPr>
            </w:pPr>
            <w:r w:rsidRPr="002F7BC6">
              <w:rPr>
                <w:rFonts w:cs="Arial"/>
                <w:sz w:val="20"/>
                <w:szCs w:val="20"/>
              </w:rPr>
              <w:t>Other operating expenditure, excluding interest and tax, includes:</w:t>
            </w:r>
          </w:p>
          <w:p w14:paraId="449EA935" w14:textId="77777777" w:rsidR="007D1218" w:rsidRPr="002F7BC6" w:rsidRDefault="007D1218" w:rsidP="009C3ABF">
            <w:pPr>
              <w:pStyle w:val="ListParagraph"/>
              <w:numPr>
                <w:ilvl w:val="0"/>
                <w:numId w:val="7"/>
              </w:numPr>
              <w:spacing w:before="120"/>
              <w:rPr>
                <w:rFonts w:asciiTheme="minorHAnsi" w:hAnsiTheme="minorHAnsi" w:cs="Arial"/>
                <w:sz w:val="20"/>
                <w:szCs w:val="20"/>
              </w:rPr>
            </w:pPr>
            <w:r w:rsidRPr="002F7BC6">
              <w:rPr>
                <w:rFonts w:asciiTheme="minorHAnsi" w:hAnsiTheme="minorHAnsi" w:cs="Arial"/>
                <w:sz w:val="20"/>
                <w:szCs w:val="20"/>
              </w:rPr>
              <w:t>Decision and administration of disconnections and reconnections</w:t>
            </w:r>
          </w:p>
          <w:p w14:paraId="15CE3245" w14:textId="77777777" w:rsidR="007D1218" w:rsidRPr="002F7BC6" w:rsidRDefault="007D1218" w:rsidP="009C3ABF">
            <w:pPr>
              <w:pStyle w:val="ListParagraph"/>
              <w:numPr>
                <w:ilvl w:val="0"/>
                <w:numId w:val="7"/>
              </w:numPr>
              <w:spacing w:before="120"/>
              <w:rPr>
                <w:rFonts w:asciiTheme="minorHAnsi" w:hAnsiTheme="minorHAnsi" w:cs="Arial"/>
                <w:sz w:val="20"/>
                <w:szCs w:val="20"/>
              </w:rPr>
            </w:pPr>
            <w:r w:rsidRPr="002F7BC6">
              <w:rPr>
                <w:rFonts w:asciiTheme="minorHAnsi" w:hAnsiTheme="minorHAnsi" w:cs="Arial"/>
                <w:sz w:val="20"/>
                <w:szCs w:val="20"/>
              </w:rPr>
              <w:t>Demand-side water efficiency initiatives</w:t>
            </w:r>
          </w:p>
          <w:p w14:paraId="226B36A4" w14:textId="77777777" w:rsidR="007D1218" w:rsidRPr="002F7BC6" w:rsidRDefault="007D1218" w:rsidP="009C3ABF">
            <w:pPr>
              <w:pStyle w:val="ListParagraph"/>
              <w:numPr>
                <w:ilvl w:val="0"/>
                <w:numId w:val="7"/>
              </w:numPr>
              <w:spacing w:before="120"/>
              <w:rPr>
                <w:rFonts w:asciiTheme="minorHAnsi" w:hAnsiTheme="minorHAnsi" w:cs="Arial"/>
                <w:sz w:val="20"/>
                <w:szCs w:val="20"/>
              </w:rPr>
            </w:pPr>
            <w:r w:rsidRPr="002F7BC6">
              <w:rPr>
                <w:rFonts w:asciiTheme="minorHAnsi" w:hAnsiTheme="minorHAnsi" w:cs="Arial"/>
                <w:sz w:val="20"/>
                <w:szCs w:val="20"/>
              </w:rPr>
              <w:t>Customer side leaks</w:t>
            </w:r>
          </w:p>
          <w:p w14:paraId="061C068D" w14:textId="77777777" w:rsidR="007D1218" w:rsidRPr="002F7BC6" w:rsidRDefault="007D1218" w:rsidP="009C3ABF">
            <w:pPr>
              <w:pStyle w:val="ListParagraph"/>
              <w:numPr>
                <w:ilvl w:val="0"/>
                <w:numId w:val="7"/>
              </w:numPr>
              <w:spacing w:before="120"/>
              <w:rPr>
                <w:rFonts w:asciiTheme="minorHAnsi" w:hAnsiTheme="minorHAnsi" w:cs="Arial"/>
                <w:sz w:val="20"/>
                <w:szCs w:val="20"/>
              </w:rPr>
            </w:pPr>
            <w:r w:rsidRPr="002F7BC6">
              <w:rPr>
                <w:rFonts w:asciiTheme="minorHAnsi" w:hAnsiTheme="minorHAnsi" w:cs="Arial"/>
                <w:sz w:val="20"/>
                <w:szCs w:val="20"/>
              </w:rPr>
              <w:t>Other direct costs</w:t>
            </w:r>
          </w:p>
          <w:p w14:paraId="7C3401F2" w14:textId="77777777" w:rsidR="007D1218" w:rsidRPr="002F7BC6" w:rsidRDefault="007D1218" w:rsidP="009C3ABF">
            <w:pPr>
              <w:pStyle w:val="ListParagraph"/>
              <w:numPr>
                <w:ilvl w:val="0"/>
                <w:numId w:val="7"/>
              </w:numPr>
              <w:spacing w:before="120"/>
              <w:rPr>
                <w:rFonts w:asciiTheme="minorHAnsi" w:hAnsiTheme="minorHAnsi" w:cs="Arial"/>
                <w:sz w:val="20"/>
                <w:szCs w:val="20"/>
              </w:rPr>
            </w:pPr>
            <w:r w:rsidRPr="002F7BC6">
              <w:rPr>
                <w:rFonts w:asciiTheme="minorHAnsi" w:hAnsiTheme="minorHAnsi" w:cs="Arial"/>
                <w:sz w:val="20"/>
                <w:szCs w:val="20"/>
              </w:rPr>
              <w:t>General &amp; support costs</w:t>
            </w:r>
          </w:p>
          <w:p w14:paraId="723B9FFD" w14:textId="77777777" w:rsidR="007D1218" w:rsidRPr="002F7BC6" w:rsidRDefault="007D1218" w:rsidP="009C3ABF">
            <w:pPr>
              <w:pStyle w:val="ListParagraph"/>
              <w:numPr>
                <w:ilvl w:val="0"/>
                <w:numId w:val="7"/>
              </w:numPr>
              <w:spacing w:before="120"/>
              <w:rPr>
                <w:rFonts w:asciiTheme="minorHAnsi" w:hAnsiTheme="minorHAnsi" w:cs="Arial"/>
                <w:sz w:val="20"/>
                <w:szCs w:val="20"/>
              </w:rPr>
            </w:pPr>
            <w:r w:rsidRPr="002F7BC6">
              <w:rPr>
                <w:rFonts w:asciiTheme="minorHAnsi" w:hAnsiTheme="minorHAnsi" w:cs="Arial"/>
                <w:sz w:val="20"/>
                <w:szCs w:val="20"/>
              </w:rPr>
              <w:t>Other business activities</w:t>
            </w:r>
          </w:p>
          <w:p w14:paraId="7475AF82" w14:textId="77777777" w:rsidR="007D1218" w:rsidRPr="002F7BC6" w:rsidRDefault="007D1218" w:rsidP="008B45DA">
            <w:pPr>
              <w:spacing w:before="120"/>
              <w:rPr>
                <w:rFonts w:cs="Arial"/>
                <w:sz w:val="20"/>
                <w:szCs w:val="20"/>
              </w:rPr>
            </w:pPr>
            <w:r w:rsidRPr="002F7BC6">
              <w:rPr>
                <w:rFonts w:cs="Arial"/>
                <w:sz w:val="20"/>
                <w:szCs w:val="20"/>
              </w:rPr>
              <w:t>Cost centres relating to the above activities are either directly identified and allocated from the general ledger or apportioned based on a specific time assessment or the most appropriate underlying cost driver.</w:t>
            </w:r>
          </w:p>
          <w:p w14:paraId="61DAFF24" w14:textId="77777777" w:rsidR="007D1218" w:rsidRPr="002F7BC6" w:rsidRDefault="007D1218" w:rsidP="008B45DA">
            <w:pPr>
              <w:spacing w:before="120"/>
              <w:rPr>
                <w:rFonts w:cs="Arial"/>
                <w:sz w:val="20"/>
                <w:szCs w:val="20"/>
              </w:rPr>
            </w:pPr>
            <w:r w:rsidRPr="002F7BC6">
              <w:rPr>
                <w:rFonts w:cs="Arial"/>
                <w:sz w:val="20"/>
                <w:szCs w:val="20"/>
              </w:rPr>
              <w:t>Other direct costs principally comprise customer policy and relations costs.</w:t>
            </w:r>
          </w:p>
        </w:tc>
      </w:tr>
      <w:tr w:rsidR="007D1218" w:rsidRPr="002F7BC6" w14:paraId="65AB7F2A" w14:textId="77777777" w:rsidTr="008B45DA">
        <w:tc>
          <w:tcPr>
            <w:tcW w:w="1559" w:type="dxa"/>
          </w:tcPr>
          <w:p w14:paraId="6E72956A" w14:textId="77777777" w:rsidR="007D1218" w:rsidRPr="002F7BC6" w:rsidRDefault="007D1218" w:rsidP="008B45DA">
            <w:pPr>
              <w:spacing w:before="120"/>
              <w:rPr>
                <w:rFonts w:cs="Arial"/>
                <w:sz w:val="20"/>
                <w:szCs w:val="20"/>
              </w:rPr>
            </w:pPr>
            <w:r w:rsidRPr="002F7BC6">
              <w:rPr>
                <w:rFonts w:cs="Arial"/>
                <w:sz w:val="20"/>
                <w:szCs w:val="20"/>
              </w:rPr>
              <w:t>Rates</w:t>
            </w:r>
          </w:p>
        </w:tc>
        <w:tc>
          <w:tcPr>
            <w:tcW w:w="6237" w:type="dxa"/>
          </w:tcPr>
          <w:p w14:paraId="3CDAF447" w14:textId="77777777" w:rsidR="007D1218" w:rsidRPr="002F7BC6" w:rsidRDefault="007D1218" w:rsidP="008B45DA">
            <w:pPr>
              <w:spacing w:before="120"/>
              <w:rPr>
                <w:rFonts w:cs="Arial"/>
                <w:sz w:val="20"/>
                <w:szCs w:val="20"/>
              </w:rPr>
            </w:pPr>
            <w:r w:rsidRPr="002F7BC6">
              <w:rPr>
                <w:rFonts w:cs="Arial"/>
                <w:sz w:val="20"/>
                <w:szCs w:val="20"/>
              </w:rPr>
              <w:t xml:space="preserve">Represent the cost of local authority business rates. No other type of rates </w:t>
            </w:r>
            <w:r>
              <w:rPr>
                <w:rFonts w:cs="Arial"/>
                <w:sz w:val="20"/>
                <w:szCs w:val="20"/>
              </w:rPr>
              <w:t>is</w:t>
            </w:r>
            <w:r w:rsidRPr="002F7BC6">
              <w:rPr>
                <w:rFonts w:cs="Arial"/>
                <w:sz w:val="20"/>
                <w:szCs w:val="20"/>
              </w:rPr>
              <w:t xml:space="preserve"> included within Retail costs. All </w:t>
            </w:r>
            <w:proofErr w:type="spellStart"/>
            <w:r w:rsidRPr="002F7BC6">
              <w:rPr>
                <w:rFonts w:cs="Arial"/>
                <w:sz w:val="20"/>
                <w:szCs w:val="20"/>
              </w:rPr>
              <w:t>Cumulo</w:t>
            </w:r>
            <w:proofErr w:type="spellEnd"/>
            <w:r w:rsidRPr="002F7BC6">
              <w:rPr>
                <w:rFonts w:cs="Arial"/>
                <w:sz w:val="20"/>
                <w:szCs w:val="20"/>
              </w:rPr>
              <w:t xml:space="preserve"> rates have been allocated to the wholesale water business due to all retail employees being based at sites that pay local authority business rates. This is consistent with the approach taken in the prior year.</w:t>
            </w:r>
          </w:p>
          <w:p w14:paraId="36DA0982" w14:textId="77777777" w:rsidR="007D1218" w:rsidRPr="002F7BC6" w:rsidRDefault="007D1218" w:rsidP="008B45DA">
            <w:pPr>
              <w:spacing w:before="120"/>
              <w:rPr>
                <w:rFonts w:cs="Arial"/>
                <w:sz w:val="20"/>
                <w:szCs w:val="20"/>
              </w:rPr>
            </w:pPr>
            <w:r w:rsidRPr="002F7BC6">
              <w:rPr>
                <w:rFonts w:cs="Arial"/>
                <w:sz w:val="20"/>
                <w:szCs w:val="20"/>
              </w:rPr>
              <w:t>Local authority rates for support buildings are apportioned between functions by floor area.</w:t>
            </w:r>
          </w:p>
        </w:tc>
      </w:tr>
      <w:tr w:rsidR="007D1218" w:rsidRPr="002F7BC6" w14:paraId="0AE30D4B" w14:textId="77777777" w:rsidTr="008B45DA">
        <w:tc>
          <w:tcPr>
            <w:tcW w:w="1559" w:type="dxa"/>
          </w:tcPr>
          <w:p w14:paraId="7F3A5E46" w14:textId="77777777" w:rsidR="007D1218" w:rsidRPr="002F7BC6" w:rsidRDefault="007D1218" w:rsidP="008B45DA">
            <w:pPr>
              <w:spacing w:before="120"/>
              <w:rPr>
                <w:rFonts w:cs="Arial"/>
                <w:sz w:val="20"/>
                <w:szCs w:val="20"/>
              </w:rPr>
            </w:pPr>
            <w:r w:rsidRPr="002F7BC6">
              <w:rPr>
                <w:rFonts w:cs="Arial"/>
                <w:sz w:val="20"/>
                <w:szCs w:val="20"/>
              </w:rPr>
              <w:t>Exceptional items</w:t>
            </w:r>
          </w:p>
        </w:tc>
        <w:tc>
          <w:tcPr>
            <w:tcW w:w="6237" w:type="dxa"/>
          </w:tcPr>
          <w:p w14:paraId="7D3F9278" w14:textId="77777777" w:rsidR="007D1218" w:rsidRPr="002F7BC6" w:rsidRDefault="007D1218" w:rsidP="008B45DA">
            <w:pPr>
              <w:spacing w:before="120"/>
              <w:rPr>
                <w:rFonts w:cs="Arial"/>
                <w:sz w:val="20"/>
                <w:szCs w:val="20"/>
              </w:rPr>
            </w:pPr>
            <w:r w:rsidRPr="002F7BC6">
              <w:rPr>
                <w:rFonts w:cs="Arial"/>
                <w:sz w:val="20"/>
                <w:szCs w:val="20"/>
              </w:rPr>
              <w:t xml:space="preserve">Exceptional items as defined by IFRS. </w:t>
            </w:r>
          </w:p>
        </w:tc>
      </w:tr>
      <w:tr w:rsidR="007D1218" w:rsidRPr="002F7BC6" w14:paraId="785D76C0" w14:textId="77777777" w:rsidTr="008B45DA">
        <w:tc>
          <w:tcPr>
            <w:tcW w:w="1559" w:type="dxa"/>
          </w:tcPr>
          <w:p w14:paraId="4381A7EC" w14:textId="77777777" w:rsidR="007D1218" w:rsidRPr="002F7BC6" w:rsidRDefault="007D1218" w:rsidP="008B45DA">
            <w:pPr>
              <w:spacing w:before="120"/>
              <w:rPr>
                <w:rFonts w:cs="Arial"/>
                <w:sz w:val="20"/>
                <w:szCs w:val="20"/>
              </w:rPr>
            </w:pPr>
            <w:r w:rsidRPr="002F7BC6">
              <w:rPr>
                <w:rFonts w:cs="Arial"/>
                <w:sz w:val="20"/>
                <w:szCs w:val="20"/>
              </w:rPr>
              <w:t>Third Party Services</w:t>
            </w:r>
          </w:p>
        </w:tc>
        <w:tc>
          <w:tcPr>
            <w:tcW w:w="6237" w:type="dxa"/>
          </w:tcPr>
          <w:p w14:paraId="6013F2FB" w14:textId="77777777" w:rsidR="007D1218" w:rsidRPr="002F7BC6" w:rsidRDefault="007D1218" w:rsidP="008B45DA">
            <w:pPr>
              <w:spacing w:before="120"/>
              <w:rPr>
                <w:rFonts w:cs="Arial"/>
                <w:sz w:val="20"/>
                <w:szCs w:val="20"/>
              </w:rPr>
            </w:pPr>
            <w:r w:rsidRPr="002F7BC6">
              <w:rPr>
                <w:rFonts w:cs="Arial"/>
                <w:sz w:val="20"/>
                <w:szCs w:val="20"/>
              </w:rPr>
              <w:t xml:space="preserve">Comprises the cost of providing retail services to third parties. The cost has been allocated based on a time assessment and directly attributed to </w:t>
            </w:r>
            <w:r>
              <w:rPr>
                <w:rFonts w:cs="Arial"/>
                <w:sz w:val="20"/>
                <w:szCs w:val="20"/>
              </w:rPr>
              <w:t>wholesale</w:t>
            </w:r>
            <w:r w:rsidRPr="002F7BC6">
              <w:rPr>
                <w:rFonts w:cs="Arial"/>
                <w:sz w:val="20"/>
                <w:szCs w:val="20"/>
              </w:rPr>
              <w:t>.</w:t>
            </w:r>
          </w:p>
        </w:tc>
      </w:tr>
      <w:tr w:rsidR="007D1218" w:rsidRPr="002F7BC6" w14:paraId="2C8DE79B" w14:textId="77777777" w:rsidTr="008B45DA">
        <w:tc>
          <w:tcPr>
            <w:tcW w:w="1559" w:type="dxa"/>
          </w:tcPr>
          <w:p w14:paraId="34A18F59" w14:textId="77777777" w:rsidR="007D1218" w:rsidRPr="002F7BC6" w:rsidRDefault="007D1218" w:rsidP="008B45DA">
            <w:pPr>
              <w:spacing w:before="120"/>
              <w:rPr>
                <w:rFonts w:cs="Arial"/>
                <w:sz w:val="20"/>
                <w:szCs w:val="20"/>
              </w:rPr>
            </w:pPr>
            <w:r w:rsidRPr="002F7BC6">
              <w:rPr>
                <w:rFonts w:cs="Arial"/>
                <w:sz w:val="20"/>
                <w:szCs w:val="20"/>
              </w:rPr>
              <w:t>Debt written-off</w:t>
            </w:r>
          </w:p>
        </w:tc>
        <w:tc>
          <w:tcPr>
            <w:tcW w:w="6237" w:type="dxa"/>
          </w:tcPr>
          <w:p w14:paraId="35051CE1" w14:textId="77777777" w:rsidR="007D1218" w:rsidRPr="002F7BC6" w:rsidRDefault="007D1218" w:rsidP="008B45DA">
            <w:pPr>
              <w:spacing w:before="120"/>
              <w:rPr>
                <w:rFonts w:cs="Arial"/>
                <w:sz w:val="20"/>
                <w:szCs w:val="20"/>
              </w:rPr>
            </w:pPr>
            <w:r w:rsidRPr="002F7BC6">
              <w:rPr>
                <w:rFonts w:cs="Arial"/>
                <w:sz w:val="20"/>
                <w:szCs w:val="20"/>
              </w:rPr>
              <w:t xml:space="preserve">Represents debt written-off, net of recoveries of debts previously written-off. </w:t>
            </w:r>
          </w:p>
          <w:p w14:paraId="2031AB86" w14:textId="77777777" w:rsidR="007D1218" w:rsidRPr="002F7BC6" w:rsidRDefault="007D1218" w:rsidP="008B45DA">
            <w:pPr>
              <w:spacing w:before="120"/>
              <w:rPr>
                <w:rFonts w:cs="Arial"/>
                <w:sz w:val="20"/>
                <w:szCs w:val="20"/>
              </w:rPr>
            </w:pPr>
            <w:r w:rsidRPr="002F7BC6">
              <w:rPr>
                <w:rFonts w:cs="Arial"/>
                <w:sz w:val="20"/>
                <w:szCs w:val="20"/>
              </w:rPr>
              <w:t>Cost has been directly attributed.</w:t>
            </w:r>
          </w:p>
        </w:tc>
      </w:tr>
    </w:tbl>
    <w:p w14:paraId="5AFAFA6D" w14:textId="77777777" w:rsidR="007D1218" w:rsidRPr="002F7BC6" w:rsidRDefault="007D1218" w:rsidP="007D1218">
      <w:pPr>
        <w:rPr>
          <w:rFonts w:cs="Arial"/>
          <w:color w:val="000000"/>
        </w:rPr>
      </w:pPr>
    </w:p>
    <w:p w14:paraId="69660E9F" w14:textId="65B06897" w:rsidR="007D1218" w:rsidRPr="002F7BC6" w:rsidRDefault="007D1218" w:rsidP="009C3ABF">
      <w:pPr>
        <w:pStyle w:val="ListParagraph"/>
        <w:numPr>
          <w:ilvl w:val="1"/>
          <w:numId w:val="5"/>
        </w:numPr>
        <w:ind w:left="567" w:hanging="567"/>
        <w:rPr>
          <w:rFonts w:asciiTheme="minorHAnsi" w:hAnsiTheme="minorHAnsi" w:cs="Arial"/>
          <w:color w:val="000000"/>
          <w:sz w:val="22"/>
          <w:szCs w:val="22"/>
        </w:rPr>
      </w:pPr>
      <w:r w:rsidRPr="002F7BC6">
        <w:rPr>
          <w:rFonts w:asciiTheme="minorHAnsi" w:hAnsiTheme="minorHAnsi" w:cs="Arial"/>
          <w:color w:val="000000"/>
          <w:sz w:val="22"/>
          <w:szCs w:val="22"/>
        </w:rPr>
        <w:t xml:space="preserve">A significant proportion of retail costs relate to work undertaken by Pennon Water Services Limited (PWS) and </w:t>
      </w:r>
      <w:r w:rsidR="002F2167">
        <w:rPr>
          <w:rFonts w:asciiTheme="minorHAnsi" w:hAnsiTheme="minorHAnsi" w:cs="Arial"/>
          <w:color w:val="000000"/>
          <w:sz w:val="22"/>
          <w:szCs w:val="22"/>
        </w:rPr>
        <w:t>South West Water Customer Services</w:t>
      </w:r>
      <w:r w:rsidRPr="002F7BC6">
        <w:rPr>
          <w:rFonts w:asciiTheme="minorHAnsi" w:hAnsiTheme="minorHAnsi" w:cs="Arial"/>
          <w:color w:val="000000"/>
          <w:sz w:val="22"/>
          <w:szCs w:val="22"/>
        </w:rPr>
        <w:t xml:space="preserve"> Limited (</w:t>
      </w:r>
      <w:r w:rsidR="002F2167">
        <w:rPr>
          <w:rFonts w:asciiTheme="minorHAnsi" w:hAnsiTheme="minorHAnsi" w:cs="Arial"/>
          <w:color w:val="000000"/>
          <w:sz w:val="22"/>
          <w:szCs w:val="22"/>
        </w:rPr>
        <w:t>SWWCS</w:t>
      </w:r>
      <w:r w:rsidRPr="002F7BC6">
        <w:rPr>
          <w:rFonts w:asciiTheme="minorHAnsi" w:hAnsiTheme="minorHAnsi" w:cs="Arial"/>
          <w:color w:val="000000"/>
          <w:sz w:val="22"/>
          <w:szCs w:val="22"/>
        </w:rPr>
        <w:t xml:space="preserve">).  PWS is a separate company within the Pennon Group set up to manage all the customer relationships with non-household customers (including collection risk) whilst </w:t>
      </w:r>
      <w:r w:rsidR="002F2167">
        <w:rPr>
          <w:rFonts w:asciiTheme="minorHAnsi" w:hAnsiTheme="minorHAnsi" w:cs="Arial"/>
          <w:color w:val="000000"/>
          <w:sz w:val="22"/>
          <w:szCs w:val="22"/>
        </w:rPr>
        <w:t>SWWCS</w:t>
      </w:r>
      <w:r w:rsidRPr="002F7BC6">
        <w:rPr>
          <w:rFonts w:asciiTheme="minorHAnsi" w:hAnsiTheme="minorHAnsi" w:cs="Arial"/>
          <w:color w:val="000000"/>
          <w:sz w:val="22"/>
          <w:szCs w:val="22"/>
        </w:rPr>
        <w:t xml:space="preserve"> is contracted to undertake customer contact and account activities for household customers on behalf of South West Water, including billing (although the risk of collection remains with South West Water). The cost of the PWS and of the </w:t>
      </w:r>
      <w:r w:rsidR="002F2167">
        <w:rPr>
          <w:rFonts w:asciiTheme="minorHAnsi" w:hAnsiTheme="minorHAnsi" w:cs="Arial"/>
          <w:color w:val="000000"/>
          <w:sz w:val="22"/>
          <w:szCs w:val="22"/>
        </w:rPr>
        <w:t>SWWCS</w:t>
      </w:r>
      <w:r w:rsidRPr="002F7BC6">
        <w:rPr>
          <w:rFonts w:asciiTheme="minorHAnsi" w:hAnsiTheme="minorHAnsi" w:cs="Arial"/>
          <w:color w:val="000000"/>
          <w:sz w:val="22"/>
          <w:szCs w:val="22"/>
        </w:rPr>
        <w:t xml:space="preserve"> contract (less amounts charged to Source for corporate services) have been directly allocated to retail activities in accordance with the cost drivers set out in the Ofwat guidelines based on a detailed analysis, by the management teams, of the activities carried out during the year.  The analysis includes an allocation of costs of contacting customers via outbound calls allocated to the retail activity to which it relates.</w:t>
      </w:r>
    </w:p>
    <w:p w14:paraId="0B4BE09A" w14:textId="77777777" w:rsidR="007D1218" w:rsidRPr="002F7BC6" w:rsidRDefault="007D1218" w:rsidP="007D1218">
      <w:pPr>
        <w:rPr>
          <w:rFonts w:ascii="Calibri" w:hAnsi="Calibri" w:cs="Calibri"/>
        </w:rPr>
      </w:pPr>
    </w:p>
    <w:p w14:paraId="78F42A91" w14:textId="77777777" w:rsidR="007D1218" w:rsidRPr="002F7BC6" w:rsidRDefault="007D1218" w:rsidP="009C3ABF">
      <w:pPr>
        <w:pStyle w:val="ListParagraph"/>
        <w:numPr>
          <w:ilvl w:val="1"/>
          <w:numId w:val="5"/>
        </w:numPr>
        <w:ind w:left="567" w:hanging="567"/>
        <w:rPr>
          <w:rFonts w:asciiTheme="minorHAnsi" w:hAnsiTheme="minorHAnsi" w:cs="Arial"/>
          <w:color w:val="000000"/>
          <w:sz w:val="22"/>
          <w:szCs w:val="22"/>
        </w:rPr>
      </w:pPr>
      <w:r w:rsidRPr="002F7BC6">
        <w:rPr>
          <w:rFonts w:asciiTheme="minorHAnsi" w:hAnsiTheme="minorHAnsi" w:cs="Arial"/>
          <w:color w:val="000000"/>
          <w:sz w:val="22"/>
          <w:szCs w:val="22"/>
        </w:rPr>
        <w:t>No bills are issued to “the occupier”. Where a customer has vacated a property leaving amounts unpaid full provision is made against the outstanding debt, no credit notes are issued to cancel all or part of the outstanding debt.</w:t>
      </w:r>
    </w:p>
    <w:p w14:paraId="4A11E679" w14:textId="77777777" w:rsidR="007D1218" w:rsidRPr="00D96AFA" w:rsidRDefault="007D1218" w:rsidP="007D1218">
      <w:pPr>
        <w:pStyle w:val="ListParagraph"/>
        <w:rPr>
          <w:rFonts w:asciiTheme="minorHAnsi" w:hAnsiTheme="minorHAnsi" w:cs="Arial"/>
          <w:color w:val="000000"/>
          <w:sz w:val="22"/>
          <w:szCs w:val="22"/>
        </w:rPr>
      </w:pPr>
    </w:p>
    <w:p w14:paraId="0A47893B" w14:textId="74878651" w:rsidR="007D1218" w:rsidRPr="009C3ABF" w:rsidRDefault="007D1218" w:rsidP="009C3ABF">
      <w:pPr>
        <w:pStyle w:val="ListParagraph"/>
        <w:numPr>
          <w:ilvl w:val="1"/>
          <w:numId w:val="5"/>
        </w:numPr>
        <w:ind w:left="567" w:hanging="567"/>
        <w:rPr>
          <w:rFonts w:asciiTheme="minorHAnsi" w:hAnsiTheme="minorHAnsi" w:cs="Arial"/>
          <w:color w:val="000000"/>
          <w:sz w:val="22"/>
          <w:szCs w:val="22"/>
        </w:rPr>
      </w:pPr>
      <w:r w:rsidRPr="00D96AFA">
        <w:rPr>
          <w:rFonts w:asciiTheme="minorHAnsi" w:hAnsiTheme="minorHAnsi" w:cs="Arial"/>
          <w:color w:val="000000"/>
          <w:sz w:val="22"/>
          <w:szCs w:val="22"/>
        </w:rPr>
        <w:t xml:space="preserve">The doubtful debt charge represents the movement in the doubtful debt provision, which reflects the company’s assessment of the risk of non-recoverability of debt. The provision is calculated by applying expected recovery rates to debts outstanding at the end of the accounting period.  These recovery rates </w:t>
      </w:r>
      <w:proofErr w:type="gramStart"/>
      <w:r w:rsidRPr="00D96AFA">
        <w:rPr>
          <w:rFonts w:asciiTheme="minorHAnsi" w:hAnsiTheme="minorHAnsi" w:cs="Arial"/>
          <w:color w:val="000000"/>
          <w:sz w:val="22"/>
          <w:szCs w:val="22"/>
        </w:rPr>
        <w:t>take into account</w:t>
      </w:r>
      <w:proofErr w:type="gramEnd"/>
      <w:r w:rsidRPr="00D96AFA">
        <w:rPr>
          <w:rFonts w:asciiTheme="minorHAnsi" w:hAnsiTheme="minorHAnsi" w:cs="Arial"/>
          <w:color w:val="000000"/>
          <w:sz w:val="22"/>
          <w:szCs w:val="22"/>
        </w:rPr>
        <w:t xml:space="preserve"> the </w:t>
      </w:r>
      <w:r>
        <w:rPr>
          <w:rFonts w:asciiTheme="minorHAnsi" w:hAnsiTheme="minorHAnsi" w:cs="Arial"/>
          <w:color w:val="000000"/>
          <w:sz w:val="22"/>
          <w:szCs w:val="22"/>
        </w:rPr>
        <w:t>stage in the recovery process</w:t>
      </w:r>
      <w:r w:rsidRPr="00D96AFA">
        <w:rPr>
          <w:rFonts w:asciiTheme="minorHAnsi" w:hAnsiTheme="minorHAnsi" w:cs="Arial"/>
          <w:color w:val="000000"/>
          <w:sz w:val="22"/>
          <w:szCs w:val="22"/>
        </w:rPr>
        <w:t xml:space="preserve">, payment history and type of debt. Higher provisioning percentages are applied to categories of debt which </w:t>
      </w:r>
      <w:proofErr w:type="gramStart"/>
      <w:r w:rsidRPr="00D96AFA">
        <w:rPr>
          <w:rFonts w:asciiTheme="minorHAnsi" w:hAnsiTheme="minorHAnsi" w:cs="Arial"/>
          <w:color w:val="000000"/>
          <w:sz w:val="22"/>
          <w:szCs w:val="22"/>
        </w:rPr>
        <w:t>are considered to be</w:t>
      </w:r>
      <w:proofErr w:type="gramEnd"/>
      <w:r w:rsidRPr="00D96AFA">
        <w:rPr>
          <w:rFonts w:asciiTheme="minorHAnsi" w:hAnsiTheme="minorHAnsi" w:cs="Arial"/>
          <w:color w:val="000000"/>
          <w:sz w:val="22"/>
          <w:szCs w:val="22"/>
        </w:rPr>
        <w:t xml:space="preserve"> of greater risk, including those with a poor payment history.  Doubtful debt provisioning rates are updated annually to reflect the latest collection performance data from the company’s billing system.</w:t>
      </w:r>
      <w:r w:rsidRPr="00D96AFA">
        <w:rPr>
          <w:rFonts w:asciiTheme="minorHAnsi" w:hAnsiTheme="minorHAnsi" w:cs="Arial"/>
          <w:color w:val="FF0000"/>
          <w:sz w:val="23"/>
          <w:szCs w:val="23"/>
        </w:rPr>
        <w:t xml:space="preserve">  </w:t>
      </w:r>
    </w:p>
    <w:p w14:paraId="0FC524BD" w14:textId="77777777" w:rsidR="009C3ABF" w:rsidRPr="009C3ABF" w:rsidRDefault="009C3ABF" w:rsidP="009C3ABF">
      <w:pPr>
        <w:pStyle w:val="ListParagraph"/>
        <w:rPr>
          <w:rFonts w:asciiTheme="minorHAnsi" w:hAnsiTheme="minorHAnsi" w:cs="Arial"/>
          <w:color w:val="000000"/>
          <w:sz w:val="22"/>
          <w:szCs w:val="22"/>
        </w:rPr>
      </w:pPr>
    </w:p>
    <w:p w14:paraId="30BE4E0D" w14:textId="77777777" w:rsidR="009C3ABF" w:rsidRPr="009C3ABF" w:rsidRDefault="009C3ABF" w:rsidP="009C3ABF">
      <w:pPr>
        <w:pStyle w:val="ListParagraph"/>
        <w:ind w:left="567"/>
        <w:rPr>
          <w:rFonts w:asciiTheme="minorHAnsi" w:hAnsiTheme="minorHAnsi" w:cs="Arial"/>
          <w:color w:val="000000"/>
          <w:sz w:val="22"/>
          <w:szCs w:val="22"/>
        </w:rPr>
      </w:pPr>
    </w:p>
    <w:p w14:paraId="7568475D" w14:textId="77777777" w:rsidR="007D1218" w:rsidRPr="002F7BC6" w:rsidRDefault="007D1218" w:rsidP="009C3ABF">
      <w:pPr>
        <w:pStyle w:val="ListParagraph"/>
        <w:numPr>
          <w:ilvl w:val="1"/>
          <w:numId w:val="5"/>
        </w:numPr>
        <w:ind w:left="567" w:hanging="567"/>
        <w:rPr>
          <w:rFonts w:asciiTheme="minorHAnsi" w:hAnsiTheme="minorHAnsi" w:cs="Arial"/>
          <w:color w:val="000000"/>
          <w:sz w:val="22"/>
          <w:szCs w:val="22"/>
        </w:rPr>
      </w:pPr>
      <w:r w:rsidRPr="002F7BC6">
        <w:rPr>
          <w:rFonts w:asciiTheme="minorHAnsi" w:hAnsiTheme="minorHAnsi" w:cs="Arial"/>
          <w:color w:val="000000"/>
          <w:sz w:val="22"/>
          <w:szCs w:val="22"/>
        </w:rPr>
        <w:t xml:space="preserve">Corporate and support costs separately identify directly attributable costs that can be allocated to specific retail activity, for example the costs of the Rapid billing system have been allocated directly to the billing activity within the retail business unit.  Other corporate and support expenditure which cannot be directly allocated to a specific retail activity or specific disclosure line are included within other operating expenditure. </w:t>
      </w:r>
    </w:p>
    <w:p w14:paraId="3C86BE0F" w14:textId="77777777" w:rsidR="007D1218" w:rsidRPr="002F7BC6" w:rsidRDefault="007D1218" w:rsidP="007D1218">
      <w:pPr>
        <w:pStyle w:val="ListParagraph"/>
        <w:rPr>
          <w:rFonts w:asciiTheme="minorHAnsi" w:hAnsiTheme="minorHAnsi" w:cs="Arial"/>
          <w:color w:val="000000"/>
          <w:sz w:val="22"/>
          <w:szCs w:val="22"/>
        </w:rPr>
      </w:pPr>
    </w:p>
    <w:p w14:paraId="18362848" w14:textId="77777777" w:rsidR="007D1218" w:rsidRPr="002F7BC6" w:rsidRDefault="007D1218" w:rsidP="009C3ABF">
      <w:pPr>
        <w:pStyle w:val="ListParagraph"/>
        <w:numPr>
          <w:ilvl w:val="1"/>
          <w:numId w:val="5"/>
        </w:numPr>
        <w:ind w:left="567" w:hanging="567"/>
        <w:rPr>
          <w:rFonts w:asciiTheme="minorHAnsi" w:hAnsiTheme="minorHAnsi" w:cs="Arial"/>
          <w:color w:val="000000"/>
          <w:sz w:val="22"/>
          <w:szCs w:val="22"/>
        </w:rPr>
      </w:pPr>
      <w:r w:rsidRPr="002F7BC6">
        <w:rPr>
          <w:rFonts w:asciiTheme="minorHAnsi" w:hAnsiTheme="minorHAnsi" w:cs="Arial"/>
          <w:color w:val="000000"/>
          <w:sz w:val="22"/>
          <w:szCs w:val="22"/>
        </w:rPr>
        <w:t xml:space="preserve">Retail costs are directly attributed to households. Costs which are not directly attributed are allocated </w:t>
      </w:r>
      <w:r>
        <w:rPr>
          <w:rFonts w:asciiTheme="minorHAnsi" w:hAnsiTheme="minorHAnsi" w:cs="Arial"/>
          <w:color w:val="000000"/>
          <w:sz w:val="22"/>
          <w:szCs w:val="22"/>
        </w:rPr>
        <w:t xml:space="preserve">to </w:t>
      </w:r>
      <w:r w:rsidRPr="002F7BC6">
        <w:rPr>
          <w:rFonts w:asciiTheme="minorHAnsi" w:hAnsiTheme="minorHAnsi" w:cs="Arial"/>
          <w:color w:val="000000"/>
          <w:sz w:val="22"/>
          <w:szCs w:val="22"/>
        </w:rPr>
        <w:t>household based on an assessment of the most appropriate underlying cost driver (</w:t>
      </w:r>
      <w:proofErr w:type="spellStart"/>
      <w:proofErr w:type="gramStart"/>
      <w:r w:rsidRPr="002F7BC6">
        <w:rPr>
          <w:rFonts w:asciiTheme="minorHAnsi" w:hAnsiTheme="minorHAnsi" w:cs="Arial"/>
          <w:color w:val="000000"/>
          <w:sz w:val="22"/>
          <w:szCs w:val="22"/>
        </w:rPr>
        <w:t>eg</w:t>
      </w:r>
      <w:proofErr w:type="spellEnd"/>
      <w:proofErr w:type="gramEnd"/>
      <w:r w:rsidRPr="002F7BC6">
        <w:rPr>
          <w:rFonts w:asciiTheme="minorHAnsi" w:hAnsiTheme="minorHAnsi" w:cs="Arial"/>
          <w:color w:val="000000"/>
          <w:sz w:val="22"/>
          <w:szCs w:val="22"/>
        </w:rPr>
        <w:t xml:space="preserve"> bill numbers, customer contacts etc).</w:t>
      </w:r>
    </w:p>
    <w:p w14:paraId="70B41C08" w14:textId="77777777" w:rsidR="007D1218" w:rsidRPr="0091297D" w:rsidRDefault="007D1218" w:rsidP="007D1218">
      <w:pPr>
        <w:pStyle w:val="ListParagraph"/>
        <w:rPr>
          <w:rFonts w:asciiTheme="minorHAnsi" w:hAnsiTheme="minorHAnsi" w:cs="Arial"/>
          <w:color w:val="000000"/>
          <w:sz w:val="22"/>
          <w:szCs w:val="22"/>
          <w:highlight w:val="yellow"/>
        </w:rPr>
      </w:pPr>
    </w:p>
    <w:p w14:paraId="48A462DB" w14:textId="77777777" w:rsidR="007D1218" w:rsidRPr="0091297D" w:rsidRDefault="007D1218" w:rsidP="007D1218">
      <w:pPr>
        <w:rPr>
          <w:rFonts w:cs="Arial"/>
          <w:color w:val="000000"/>
          <w:highlight w:val="yellow"/>
        </w:rPr>
      </w:pPr>
      <w:r w:rsidRPr="0091297D">
        <w:rPr>
          <w:rFonts w:cs="Arial"/>
          <w:color w:val="000000"/>
          <w:highlight w:val="yellow"/>
        </w:rPr>
        <w:br w:type="page"/>
      </w:r>
    </w:p>
    <w:p w14:paraId="65714073" w14:textId="77777777" w:rsidR="007D1218" w:rsidRPr="002F7BC6" w:rsidRDefault="007D1218" w:rsidP="00DB4B44">
      <w:pPr>
        <w:pStyle w:val="Heading1"/>
      </w:pPr>
      <w:bookmarkStart w:id="27" w:name="_Toc389044481"/>
      <w:bookmarkStart w:id="28" w:name="_Toc172019349"/>
      <w:r w:rsidRPr="002F7BC6">
        <w:lastRenderedPageBreak/>
        <w:t>HOUSEHOLD REVENUES BY CUSTOMER TYPE</w:t>
      </w:r>
      <w:bookmarkEnd w:id="28"/>
      <w:r w:rsidRPr="002F7BC6">
        <w:t xml:space="preserve"> </w:t>
      </w:r>
    </w:p>
    <w:p w14:paraId="44C27443" w14:textId="77777777" w:rsidR="007D1218" w:rsidRPr="0055270E" w:rsidRDefault="007D1218" w:rsidP="009C3ABF">
      <w:pPr>
        <w:pStyle w:val="ListParagraph"/>
        <w:numPr>
          <w:ilvl w:val="1"/>
          <w:numId w:val="5"/>
        </w:numPr>
        <w:tabs>
          <w:tab w:val="left" w:pos="915"/>
        </w:tabs>
        <w:ind w:left="567" w:hanging="567"/>
        <w:rPr>
          <w:rFonts w:asciiTheme="minorHAnsi" w:hAnsiTheme="minorHAnsi" w:cstheme="minorHAnsi"/>
          <w:b/>
          <w:sz w:val="22"/>
          <w:szCs w:val="22"/>
        </w:rPr>
      </w:pPr>
      <w:r w:rsidRPr="0055270E">
        <w:rPr>
          <w:rFonts w:asciiTheme="minorHAnsi" w:hAnsiTheme="minorHAnsi" w:cstheme="minorHAnsi"/>
          <w:b/>
          <w:sz w:val="22"/>
          <w:szCs w:val="22"/>
        </w:rPr>
        <w:t>Unmeasured Water Only Customers</w:t>
      </w:r>
    </w:p>
    <w:p w14:paraId="72F30B2C" w14:textId="77777777" w:rsidR="007D1218" w:rsidRPr="0055270E" w:rsidRDefault="007D1218" w:rsidP="007D1218">
      <w:pPr>
        <w:pStyle w:val="ListParagraph"/>
        <w:ind w:left="567"/>
        <w:rPr>
          <w:rFonts w:asciiTheme="minorHAnsi" w:hAnsiTheme="minorHAnsi" w:cs="Arial"/>
          <w:b/>
          <w:color w:val="000000"/>
          <w:sz w:val="20"/>
          <w:szCs w:val="20"/>
        </w:rPr>
      </w:pPr>
    </w:p>
    <w:p w14:paraId="71009935" w14:textId="70AC88C1" w:rsidR="007D1218" w:rsidRPr="0055270E" w:rsidRDefault="007D1218" w:rsidP="007D1218">
      <w:pPr>
        <w:pStyle w:val="ListParagraph"/>
        <w:ind w:left="567"/>
        <w:rPr>
          <w:rFonts w:asciiTheme="minorHAnsi" w:hAnsiTheme="minorHAnsi" w:cs="Arial"/>
          <w:color w:val="000000"/>
          <w:sz w:val="22"/>
          <w:szCs w:val="22"/>
        </w:rPr>
      </w:pPr>
      <w:r w:rsidRPr="0055270E">
        <w:rPr>
          <w:rFonts w:asciiTheme="minorHAnsi" w:hAnsiTheme="minorHAnsi" w:cs="Arial"/>
          <w:color w:val="000000"/>
          <w:sz w:val="22"/>
          <w:szCs w:val="22"/>
        </w:rPr>
        <w:t xml:space="preserve">Wholesale and retail revenues are calculated based on a detailed outturn calculation consistent with the SWW tariff model for </w:t>
      </w:r>
      <w:r>
        <w:rPr>
          <w:rFonts w:asciiTheme="minorHAnsi" w:hAnsiTheme="minorHAnsi" w:cs="Arial"/>
          <w:color w:val="000000"/>
          <w:sz w:val="22"/>
          <w:szCs w:val="22"/>
        </w:rPr>
        <w:t>202</w:t>
      </w:r>
      <w:r w:rsidR="00D90C90">
        <w:rPr>
          <w:rFonts w:asciiTheme="minorHAnsi" w:hAnsiTheme="minorHAnsi" w:cs="Arial"/>
          <w:color w:val="000000"/>
          <w:sz w:val="22"/>
          <w:szCs w:val="22"/>
        </w:rPr>
        <w:t>3</w:t>
      </w:r>
      <w:r>
        <w:rPr>
          <w:rFonts w:asciiTheme="minorHAnsi" w:hAnsiTheme="minorHAnsi" w:cs="Arial"/>
          <w:color w:val="000000"/>
          <w:sz w:val="22"/>
          <w:szCs w:val="22"/>
        </w:rPr>
        <w:t>/2</w:t>
      </w:r>
      <w:r w:rsidR="00D90C90">
        <w:rPr>
          <w:rFonts w:asciiTheme="minorHAnsi" w:hAnsiTheme="minorHAnsi" w:cs="Arial"/>
          <w:color w:val="000000"/>
          <w:sz w:val="22"/>
          <w:szCs w:val="22"/>
        </w:rPr>
        <w:t>4</w:t>
      </w:r>
      <w:r w:rsidRPr="0055270E">
        <w:rPr>
          <w:rFonts w:asciiTheme="minorHAnsi" w:hAnsiTheme="minorHAnsi" w:cs="Arial"/>
          <w:color w:val="000000"/>
          <w:sz w:val="22"/>
          <w:szCs w:val="22"/>
        </w:rPr>
        <w:t xml:space="preserve"> based on tariffs values, meter and property numbers and rateable values.  Customer numbers are consistent with this detailed outturn calculation.</w:t>
      </w:r>
    </w:p>
    <w:p w14:paraId="3F027AC5" w14:textId="77777777" w:rsidR="007D1218" w:rsidRPr="0055270E" w:rsidRDefault="007D1218" w:rsidP="007D1218">
      <w:pPr>
        <w:pStyle w:val="ListParagraph"/>
        <w:ind w:left="567"/>
        <w:rPr>
          <w:rFonts w:asciiTheme="minorHAnsi" w:hAnsiTheme="minorHAnsi" w:cs="Arial"/>
          <w:color w:val="000000"/>
          <w:sz w:val="22"/>
          <w:szCs w:val="22"/>
        </w:rPr>
      </w:pPr>
    </w:p>
    <w:p w14:paraId="5D2C9C6D" w14:textId="77777777" w:rsidR="007D1218" w:rsidRPr="0055270E" w:rsidRDefault="007D1218" w:rsidP="009C3ABF">
      <w:pPr>
        <w:pStyle w:val="ListParagraph"/>
        <w:numPr>
          <w:ilvl w:val="1"/>
          <w:numId w:val="5"/>
        </w:numPr>
        <w:tabs>
          <w:tab w:val="left" w:pos="915"/>
        </w:tabs>
        <w:ind w:left="567" w:hanging="567"/>
        <w:rPr>
          <w:rFonts w:asciiTheme="minorHAnsi" w:hAnsiTheme="minorHAnsi" w:cstheme="minorHAnsi"/>
          <w:b/>
          <w:sz w:val="22"/>
          <w:szCs w:val="22"/>
        </w:rPr>
      </w:pPr>
      <w:r w:rsidRPr="0055270E">
        <w:rPr>
          <w:rFonts w:asciiTheme="minorHAnsi" w:hAnsiTheme="minorHAnsi" w:cstheme="minorHAnsi"/>
          <w:b/>
          <w:sz w:val="22"/>
          <w:szCs w:val="22"/>
        </w:rPr>
        <w:t>Unmeasured Wastewater Only Customers</w:t>
      </w:r>
    </w:p>
    <w:p w14:paraId="1379D8AB" w14:textId="77777777" w:rsidR="007D1218" w:rsidRPr="0055270E" w:rsidRDefault="007D1218" w:rsidP="007D1218">
      <w:pPr>
        <w:pStyle w:val="ListParagraph"/>
        <w:ind w:left="567"/>
        <w:rPr>
          <w:rFonts w:asciiTheme="minorHAnsi" w:hAnsiTheme="minorHAnsi" w:cs="Arial"/>
          <w:color w:val="000000"/>
          <w:sz w:val="20"/>
          <w:szCs w:val="20"/>
        </w:rPr>
      </w:pPr>
    </w:p>
    <w:p w14:paraId="4479CE25" w14:textId="1602B507" w:rsidR="007D1218" w:rsidRPr="0055270E" w:rsidRDefault="007D1218" w:rsidP="007D1218">
      <w:pPr>
        <w:pStyle w:val="ListParagraph"/>
        <w:ind w:left="567"/>
        <w:rPr>
          <w:rFonts w:asciiTheme="minorHAnsi" w:hAnsiTheme="minorHAnsi" w:cs="Arial"/>
          <w:color w:val="000000"/>
          <w:sz w:val="22"/>
          <w:szCs w:val="22"/>
        </w:rPr>
      </w:pPr>
      <w:r w:rsidRPr="0055270E">
        <w:rPr>
          <w:rFonts w:asciiTheme="minorHAnsi" w:hAnsiTheme="minorHAnsi" w:cs="Arial"/>
          <w:color w:val="000000"/>
          <w:sz w:val="22"/>
          <w:szCs w:val="22"/>
        </w:rPr>
        <w:t xml:space="preserve">Wholesale and retail revenues are calculated based on a detailed outturn calculation consistent with the SWW tariff model for </w:t>
      </w:r>
      <w:r>
        <w:rPr>
          <w:rFonts w:asciiTheme="minorHAnsi" w:hAnsiTheme="minorHAnsi" w:cs="Arial"/>
          <w:color w:val="000000"/>
          <w:sz w:val="22"/>
          <w:szCs w:val="22"/>
        </w:rPr>
        <w:t>202</w:t>
      </w:r>
      <w:r w:rsidR="00D90C90">
        <w:rPr>
          <w:rFonts w:asciiTheme="minorHAnsi" w:hAnsiTheme="minorHAnsi" w:cs="Arial"/>
          <w:color w:val="000000"/>
          <w:sz w:val="22"/>
          <w:szCs w:val="22"/>
        </w:rPr>
        <w:t>3</w:t>
      </w:r>
      <w:r>
        <w:rPr>
          <w:rFonts w:asciiTheme="minorHAnsi" w:hAnsiTheme="minorHAnsi" w:cs="Arial"/>
          <w:color w:val="000000"/>
          <w:sz w:val="22"/>
          <w:szCs w:val="22"/>
        </w:rPr>
        <w:t>/2</w:t>
      </w:r>
      <w:r w:rsidR="00D90C90">
        <w:rPr>
          <w:rFonts w:asciiTheme="minorHAnsi" w:hAnsiTheme="minorHAnsi" w:cs="Arial"/>
          <w:color w:val="000000"/>
          <w:sz w:val="22"/>
          <w:szCs w:val="22"/>
        </w:rPr>
        <w:t>4</w:t>
      </w:r>
      <w:r w:rsidRPr="0055270E">
        <w:rPr>
          <w:rFonts w:asciiTheme="minorHAnsi" w:hAnsiTheme="minorHAnsi" w:cs="Arial"/>
          <w:color w:val="000000"/>
          <w:sz w:val="22"/>
          <w:szCs w:val="22"/>
        </w:rPr>
        <w:t xml:space="preserve"> based on tariffs values, meter and property numbers and rateable values.  Customer numbers are consistent with this detailed outturn calculation.</w:t>
      </w:r>
    </w:p>
    <w:p w14:paraId="0FE639DC" w14:textId="77777777" w:rsidR="007D1218" w:rsidRPr="0055270E" w:rsidRDefault="007D1218" w:rsidP="007D1218">
      <w:pPr>
        <w:pStyle w:val="ListParagraph"/>
        <w:ind w:left="567"/>
        <w:rPr>
          <w:rFonts w:asciiTheme="minorHAnsi" w:hAnsiTheme="minorHAnsi" w:cs="Arial"/>
          <w:color w:val="000000"/>
          <w:sz w:val="22"/>
          <w:szCs w:val="22"/>
        </w:rPr>
      </w:pPr>
    </w:p>
    <w:p w14:paraId="0E466D4A" w14:textId="77777777" w:rsidR="007D1218" w:rsidRPr="0055270E" w:rsidRDefault="007D1218" w:rsidP="009C3ABF">
      <w:pPr>
        <w:pStyle w:val="ListParagraph"/>
        <w:numPr>
          <w:ilvl w:val="1"/>
          <w:numId w:val="5"/>
        </w:numPr>
        <w:tabs>
          <w:tab w:val="left" w:pos="915"/>
        </w:tabs>
        <w:ind w:left="567" w:hanging="567"/>
        <w:rPr>
          <w:rFonts w:asciiTheme="minorHAnsi" w:hAnsiTheme="minorHAnsi" w:cstheme="minorHAnsi"/>
          <w:b/>
          <w:sz w:val="22"/>
          <w:szCs w:val="22"/>
        </w:rPr>
      </w:pPr>
      <w:r w:rsidRPr="0055270E">
        <w:rPr>
          <w:rFonts w:asciiTheme="minorHAnsi" w:hAnsiTheme="minorHAnsi" w:cstheme="minorHAnsi"/>
          <w:b/>
          <w:sz w:val="22"/>
          <w:szCs w:val="22"/>
        </w:rPr>
        <w:t>Unmeasured Water and Wastewater Customers</w:t>
      </w:r>
    </w:p>
    <w:p w14:paraId="3EDB647C" w14:textId="77777777" w:rsidR="007D1218" w:rsidRPr="0055270E" w:rsidRDefault="007D1218" w:rsidP="007D1218">
      <w:pPr>
        <w:pStyle w:val="ListParagraph"/>
        <w:ind w:left="567"/>
        <w:rPr>
          <w:rFonts w:asciiTheme="minorHAnsi" w:hAnsiTheme="minorHAnsi" w:cs="Arial"/>
          <w:color w:val="000000"/>
          <w:sz w:val="20"/>
          <w:szCs w:val="20"/>
        </w:rPr>
      </w:pPr>
    </w:p>
    <w:p w14:paraId="01AAB028" w14:textId="17555370" w:rsidR="007D1218" w:rsidRPr="0055270E" w:rsidRDefault="007D1218" w:rsidP="007D1218">
      <w:pPr>
        <w:pStyle w:val="ListParagraph"/>
        <w:ind w:left="567"/>
        <w:rPr>
          <w:rFonts w:asciiTheme="minorHAnsi" w:hAnsiTheme="minorHAnsi" w:cs="Arial"/>
          <w:color w:val="000000"/>
          <w:sz w:val="22"/>
          <w:szCs w:val="22"/>
        </w:rPr>
      </w:pPr>
      <w:r w:rsidRPr="0055270E">
        <w:rPr>
          <w:rFonts w:asciiTheme="minorHAnsi" w:hAnsiTheme="minorHAnsi" w:cs="Arial"/>
          <w:color w:val="000000"/>
          <w:sz w:val="22"/>
          <w:szCs w:val="22"/>
        </w:rPr>
        <w:t xml:space="preserve">Wholesale and retail revenues are calculated based the sum of unmeasured water and wastewater revenues in </w:t>
      </w:r>
      <w:r>
        <w:rPr>
          <w:rFonts w:asciiTheme="minorHAnsi" w:hAnsiTheme="minorHAnsi" w:cs="Arial"/>
          <w:color w:val="000000"/>
          <w:sz w:val="22"/>
          <w:szCs w:val="22"/>
        </w:rPr>
        <w:t>202</w:t>
      </w:r>
      <w:r w:rsidR="00D90C90">
        <w:rPr>
          <w:rFonts w:asciiTheme="minorHAnsi" w:hAnsiTheme="minorHAnsi" w:cs="Arial"/>
          <w:color w:val="000000"/>
          <w:sz w:val="22"/>
          <w:szCs w:val="22"/>
        </w:rPr>
        <w:t>3</w:t>
      </w:r>
      <w:r>
        <w:rPr>
          <w:rFonts w:asciiTheme="minorHAnsi" w:hAnsiTheme="minorHAnsi" w:cs="Arial"/>
          <w:color w:val="000000"/>
          <w:sz w:val="22"/>
          <w:szCs w:val="22"/>
        </w:rPr>
        <w:t>/2</w:t>
      </w:r>
      <w:r w:rsidR="00D90C90">
        <w:rPr>
          <w:rFonts w:asciiTheme="minorHAnsi" w:hAnsiTheme="minorHAnsi" w:cs="Arial"/>
          <w:color w:val="000000"/>
          <w:sz w:val="22"/>
          <w:szCs w:val="22"/>
        </w:rPr>
        <w:t>4</w:t>
      </w:r>
      <w:r w:rsidR="002F2167">
        <w:rPr>
          <w:rFonts w:asciiTheme="minorHAnsi" w:hAnsiTheme="minorHAnsi" w:cs="Arial"/>
          <w:color w:val="000000"/>
          <w:sz w:val="22"/>
          <w:szCs w:val="22"/>
        </w:rPr>
        <w:t xml:space="preserve"> </w:t>
      </w:r>
      <w:r w:rsidRPr="0055270E">
        <w:rPr>
          <w:rFonts w:asciiTheme="minorHAnsi" w:hAnsiTheme="minorHAnsi" w:cs="Arial"/>
          <w:color w:val="000000"/>
          <w:sz w:val="22"/>
          <w:szCs w:val="22"/>
        </w:rPr>
        <w:t xml:space="preserve">minus unmeasured water only and wastewater only revenues.  Customer numbers are consistent with outturn figures in the SWW tariff model for </w:t>
      </w:r>
      <w:r>
        <w:rPr>
          <w:rFonts w:asciiTheme="minorHAnsi" w:hAnsiTheme="minorHAnsi" w:cs="Arial"/>
          <w:color w:val="000000"/>
          <w:sz w:val="22"/>
          <w:szCs w:val="22"/>
        </w:rPr>
        <w:t>202</w:t>
      </w:r>
      <w:r w:rsidR="00D90C90">
        <w:rPr>
          <w:rFonts w:asciiTheme="minorHAnsi" w:hAnsiTheme="minorHAnsi" w:cs="Arial"/>
          <w:color w:val="000000"/>
          <w:sz w:val="22"/>
          <w:szCs w:val="22"/>
        </w:rPr>
        <w:t>3</w:t>
      </w:r>
      <w:r>
        <w:rPr>
          <w:rFonts w:asciiTheme="minorHAnsi" w:hAnsiTheme="minorHAnsi" w:cs="Arial"/>
          <w:color w:val="000000"/>
          <w:sz w:val="22"/>
          <w:szCs w:val="22"/>
        </w:rPr>
        <w:t>/2</w:t>
      </w:r>
      <w:r w:rsidR="00D90C90">
        <w:rPr>
          <w:rFonts w:asciiTheme="minorHAnsi" w:hAnsiTheme="minorHAnsi" w:cs="Arial"/>
          <w:color w:val="000000"/>
          <w:sz w:val="22"/>
          <w:szCs w:val="22"/>
        </w:rPr>
        <w:t>4</w:t>
      </w:r>
    </w:p>
    <w:p w14:paraId="0C34B079" w14:textId="77777777" w:rsidR="007D1218" w:rsidRPr="0055270E" w:rsidRDefault="007D1218" w:rsidP="007D1218">
      <w:pPr>
        <w:pStyle w:val="ListParagraph"/>
        <w:ind w:left="567"/>
        <w:rPr>
          <w:rFonts w:asciiTheme="minorHAnsi" w:hAnsiTheme="minorHAnsi" w:cstheme="minorHAnsi"/>
          <w:b/>
          <w:sz w:val="22"/>
          <w:szCs w:val="22"/>
        </w:rPr>
      </w:pPr>
    </w:p>
    <w:p w14:paraId="5C62BF70" w14:textId="77777777" w:rsidR="007D1218" w:rsidRPr="0055270E" w:rsidRDefault="007D1218" w:rsidP="009C3ABF">
      <w:pPr>
        <w:pStyle w:val="ListParagraph"/>
        <w:numPr>
          <w:ilvl w:val="1"/>
          <w:numId w:val="5"/>
        </w:numPr>
        <w:ind w:left="567" w:hanging="567"/>
        <w:rPr>
          <w:rFonts w:asciiTheme="minorHAnsi" w:hAnsiTheme="minorHAnsi" w:cstheme="minorHAnsi"/>
          <w:b/>
          <w:sz w:val="22"/>
          <w:szCs w:val="22"/>
        </w:rPr>
      </w:pPr>
      <w:r w:rsidRPr="0055270E">
        <w:rPr>
          <w:rFonts w:asciiTheme="minorHAnsi" w:hAnsiTheme="minorHAnsi" w:cstheme="minorHAnsi"/>
          <w:b/>
          <w:sz w:val="22"/>
          <w:szCs w:val="22"/>
        </w:rPr>
        <w:t>Measured Water Only Customers</w:t>
      </w:r>
    </w:p>
    <w:p w14:paraId="53572656" w14:textId="77777777" w:rsidR="007D1218" w:rsidRPr="0055270E" w:rsidRDefault="007D1218" w:rsidP="007D1218">
      <w:pPr>
        <w:pStyle w:val="ListParagraph"/>
        <w:ind w:left="567"/>
        <w:rPr>
          <w:rFonts w:asciiTheme="minorHAnsi" w:hAnsiTheme="minorHAnsi" w:cs="Arial"/>
          <w:color w:val="000000"/>
          <w:sz w:val="20"/>
          <w:szCs w:val="20"/>
        </w:rPr>
      </w:pPr>
    </w:p>
    <w:p w14:paraId="5166890F" w14:textId="2302BD1E" w:rsidR="007D1218" w:rsidRPr="0055270E" w:rsidRDefault="007D1218" w:rsidP="007D1218">
      <w:pPr>
        <w:pStyle w:val="ListParagraph"/>
        <w:ind w:left="567"/>
        <w:rPr>
          <w:rFonts w:asciiTheme="minorHAnsi" w:hAnsiTheme="minorHAnsi" w:cs="Arial"/>
          <w:color w:val="000000"/>
          <w:sz w:val="22"/>
          <w:szCs w:val="22"/>
        </w:rPr>
      </w:pPr>
      <w:r w:rsidRPr="0055270E">
        <w:rPr>
          <w:rFonts w:asciiTheme="minorHAnsi" w:hAnsiTheme="minorHAnsi" w:cs="Arial"/>
          <w:color w:val="000000"/>
          <w:sz w:val="22"/>
          <w:szCs w:val="22"/>
        </w:rPr>
        <w:t xml:space="preserve">Wholesale and retail revenues are calculated based on a detailed outturn calculation consistent with the SWW tariff model for </w:t>
      </w:r>
      <w:r>
        <w:rPr>
          <w:rFonts w:asciiTheme="minorHAnsi" w:hAnsiTheme="minorHAnsi" w:cs="Arial"/>
          <w:color w:val="000000"/>
          <w:sz w:val="22"/>
          <w:szCs w:val="22"/>
        </w:rPr>
        <w:t>202</w:t>
      </w:r>
      <w:r w:rsidR="00D90C90">
        <w:rPr>
          <w:rFonts w:asciiTheme="minorHAnsi" w:hAnsiTheme="minorHAnsi" w:cs="Arial"/>
          <w:color w:val="000000"/>
          <w:sz w:val="22"/>
          <w:szCs w:val="22"/>
        </w:rPr>
        <w:t>3</w:t>
      </w:r>
      <w:r>
        <w:rPr>
          <w:rFonts w:asciiTheme="minorHAnsi" w:hAnsiTheme="minorHAnsi" w:cs="Arial"/>
          <w:color w:val="000000"/>
          <w:sz w:val="22"/>
          <w:szCs w:val="22"/>
        </w:rPr>
        <w:t>/2</w:t>
      </w:r>
      <w:r w:rsidR="00D90C90">
        <w:rPr>
          <w:rFonts w:asciiTheme="minorHAnsi" w:hAnsiTheme="minorHAnsi" w:cs="Arial"/>
          <w:color w:val="000000"/>
          <w:sz w:val="22"/>
          <w:szCs w:val="22"/>
        </w:rPr>
        <w:t>4</w:t>
      </w:r>
      <w:r w:rsidRPr="0055270E">
        <w:rPr>
          <w:rFonts w:asciiTheme="minorHAnsi" w:hAnsiTheme="minorHAnsi" w:cs="Arial"/>
          <w:color w:val="000000"/>
          <w:sz w:val="22"/>
          <w:szCs w:val="22"/>
        </w:rPr>
        <w:t xml:space="preserve"> based on tariffs values, meter and property numbers and volumes.  Customer numbers are consistent with this detailed outturn calculation.</w:t>
      </w:r>
    </w:p>
    <w:p w14:paraId="65A4D9CA" w14:textId="77777777" w:rsidR="007D1218" w:rsidRPr="0055270E" w:rsidRDefault="007D1218" w:rsidP="007D1218">
      <w:pPr>
        <w:pStyle w:val="ListParagraph"/>
        <w:ind w:left="567"/>
        <w:rPr>
          <w:rFonts w:asciiTheme="minorHAnsi" w:hAnsiTheme="minorHAnsi" w:cs="Arial"/>
          <w:color w:val="000000"/>
          <w:sz w:val="22"/>
          <w:szCs w:val="22"/>
        </w:rPr>
      </w:pPr>
    </w:p>
    <w:p w14:paraId="00441652" w14:textId="77777777" w:rsidR="007D1218" w:rsidRPr="0055270E" w:rsidRDefault="007D1218" w:rsidP="009C3ABF">
      <w:pPr>
        <w:pStyle w:val="ListParagraph"/>
        <w:numPr>
          <w:ilvl w:val="1"/>
          <w:numId w:val="5"/>
        </w:numPr>
        <w:ind w:left="567" w:hanging="567"/>
        <w:rPr>
          <w:rFonts w:asciiTheme="minorHAnsi" w:hAnsiTheme="minorHAnsi" w:cstheme="minorHAnsi"/>
          <w:b/>
          <w:sz w:val="22"/>
          <w:szCs w:val="22"/>
        </w:rPr>
      </w:pPr>
      <w:r w:rsidRPr="0055270E">
        <w:rPr>
          <w:rFonts w:asciiTheme="minorHAnsi" w:hAnsiTheme="minorHAnsi" w:cstheme="minorHAnsi"/>
          <w:b/>
          <w:sz w:val="22"/>
          <w:szCs w:val="22"/>
        </w:rPr>
        <w:t>Measured Wastewater Only Customers</w:t>
      </w:r>
    </w:p>
    <w:p w14:paraId="4F18E589" w14:textId="77777777" w:rsidR="007D1218" w:rsidRPr="0055270E" w:rsidRDefault="007D1218" w:rsidP="007D1218">
      <w:pPr>
        <w:pStyle w:val="ListParagraph"/>
        <w:ind w:left="567"/>
        <w:rPr>
          <w:rFonts w:asciiTheme="minorHAnsi" w:hAnsiTheme="minorHAnsi" w:cs="Arial"/>
          <w:color w:val="000000"/>
          <w:sz w:val="20"/>
          <w:szCs w:val="20"/>
        </w:rPr>
      </w:pPr>
    </w:p>
    <w:p w14:paraId="092A96E2" w14:textId="013460F1" w:rsidR="007D1218" w:rsidRPr="0055270E" w:rsidRDefault="007D1218" w:rsidP="007D1218">
      <w:pPr>
        <w:pStyle w:val="ListParagraph"/>
        <w:ind w:left="567"/>
        <w:rPr>
          <w:rFonts w:asciiTheme="minorHAnsi" w:hAnsiTheme="minorHAnsi" w:cs="Arial"/>
          <w:color w:val="000000"/>
          <w:sz w:val="22"/>
          <w:szCs w:val="22"/>
        </w:rPr>
      </w:pPr>
      <w:r w:rsidRPr="0055270E">
        <w:rPr>
          <w:rFonts w:asciiTheme="minorHAnsi" w:hAnsiTheme="minorHAnsi" w:cs="Arial"/>
          <w:color w:val="000000"/>
          <w:sz w:val="22"/>
          <w:szCs w:val="22"/>
        </w:rPr>
        <w:t xml:space="preserve">Wholesale and retail revenues are calculated based on a detailed outturn calculation consistent with the SWW tariff model for </w:t>
      </w:r>
      <w:r>
        <w:rPr>
          <w:rFonts w:asciiTheme="minorHAnsi" w:hAnsiTheme="minorHAnsi" w:cs="Arial"/>
          <w:color w:val="000000"/>
          <w:sz w:val="22"/>
          <w:szCs w:val="22"/>
        </w:rPr>
        <w:t>202</w:t>
      </w:r>
      <w:r w:rsidR="00D90C90">
        <w:rPr>
          <w:rFonts w:asciiTheme="minorHAnsi" w:hAnsiTheme="minorHAnsi" w:cs="Arial"/>
          <w:color w:val="000000"/>
          <w:sz w:val="22"/>
          <w:szCs w:val="22"/>
        </w:rPr>
        <w:t>3</w:t>
      </w:r>
      <w:r>
        <w:rPr>
          <w:rFonts w:asciiTheme="minorHAnsi" w:hAnsiTheme="minorHAnsi" w:cs="Arial"/>
          <w:color w:val="000000"/>
          <w:sz w:val="22"/>
          <w:szCs w:val="22"/>
        </w:rPr>
        <w:t>/2</w:t>
      </w:r>
      <w:r w:rsidR="00D90C90">
        <w:rPr>
          <w:rFonts w:asciiTheme="minorHAnsi" w:hAnsiTheme="minorHAnsi" w:cs="Arial"/>
          <w:color w:val="000000"/>
          <w:sz w:val="22"/>
          <w:szCs w:val="22"/>
        </w:rPr>
        <w:t>4</w:t>
      </w:r>
      <w:r w:rsidRPr="0055270E">
        <w:rPr>
          <w:rFonts w:asciiTheme="minorHAnsi" w:hAnsiTheme="minorHAnsi" w:cs="Arial"/>
          <w:color w:val="000000"/>
          <w:sz w:val="22"/>
          <w:szCs w:val="22"/>
        </w:rPr>
        <w:t xml:space="preserve"> based on tariffs values, meter and property numbers and volumes.  Customer numbers are consistent with this detailed outturn calculation.</w:t>
      </w:r>
    </w:p>
    <w:p w14:paraId="41EB235C" w14:textId="77777777" w:rsidR="007D1218" w:rsidRPr="0055270E" w:rsidRDefault="007D1218" w:rsidP="007D1218">
      <w:pPr>
        <w:pStyle w:val="ListParagraph"/>
        <w:ind w:left="567"/>
        <w:rPr>
          <w:rFonts w:asciiTheme="minorHAnsi" w:hAnsiTheme="minorHAnsi" w:cs="Arial"/>
          <w:color w:val="000000"/>
          <w:sz w:val="22"/>
          <w:szCs w:val="22"/>
        </w:rPr>
      </w:pPr>
    </w:p>
    <w:p w14:paraId="74B8504B" w14:textId="77777777" w:rsidR="007D1218" w:rsidRPr="0055270E" w:rsidRDefault="007D1218" w:rsidP="009C3ABF">
      <w:pPr>
        <w:pStyle w:val="ListParagraph"/>
        <w:numPr>
          <w:ilvl w:val="1"/>
          <w:numId w:val="5"/>
        </w:numPr>
        <w:ind w:left="567" w:hanging="567"/>
        <w:rPr>
          <w:rFonts w:asciiTheme="minorHAnsi" w:hAnsiTheme="minorHAnsi" w:cstheme="minorHAnsi"/>
          <w:b/>
          <w:sz w:val="22"/>
          <w:szCs w:val="22"/>
        </w:rPr>
      </w:pPr>
      <w:r w:rsidRPr="0055270E">
        <w:rPr>
          <w:rFonts w:asciiTheme="minorHAnsi" w:hAnsiTheme="minorHAnsi" w:cstheme="minorHAnsi"/>
          <w:b/>
          <w:sz w:val="22"/>
          <w:szCs w:val="22"/>
        </w:rPr>
        <w:t>Measured Water and Wastewater Customers</w:t>
      </w:r>
    </w:p>
    <w:p w14:paraId="5DED3F36" w14:textId="77777777" w:rsidR="007D1218" w:rsidRPr="0055270E" w:rsidRDefault="007D1218" w:rsidP="007D1218">
      <w:pPr>
        <w:rPr>
          <w:rFonts w:cs="Arial"/>
          <w:color w:val="000000"/>
          <w:sz w:val="20"/>
          <w:szCs w:val="20"/>
        </w:rPr>
      </w:pPr>
    </w:p>
    <w:p w14:paraId="719EDF18" w14:textId="5D52E8E1" w:rsidR="007D1218" w:rsidRPr="0055270E" w:rsidRDefault="007D1218" w:rsidP="007D1218">
      <w:pPr>
        <w:pStyle w:val="ListParagraph"/>
        <w:ind w:left="567"/>
        <w:rPr>
          <w:rFonts w:asciiTheme="minorHAnsi" w:hAnsiTheme="minorHAnsi" w:cs="Arial"/>
          <w:color w:val="000000"/>
          <w:sz w:val="22"/>
          <w:szCs w:val="22"/>
        </w:rPr>
      </w:pPr>
      <w:r w:rsidRPr="0055270E">
        <w:rPr>
          <w:rFonts w:asciiTheme="minorHAnsi" w:hAnsiTheme="minorHAnsi" w:cs="Arial"/>
          <w:color w:val="000000"/>
          <w:sz w:val="22"/>
          <w:szCs w:val="22"/>
        </w:rPr>
        <w:t xml:space="preserve">Wholesale and retail revenues are calculated based the sum of measured water and wastewater revenues in </w:t>
      </w:r>
      <w:r>
        <w:rPr>
          <w:rFonts w:asciiTheme="minorHAnsi" w:hAnsiTheme="minorHAnsi" w:cs="Arial"/>
          <w:color w:val="000000"/>
          <w:sz w:val="22"/>
          <w:szCs w:val="22"/>
        </w:rPr>
        <w:t>202</w:t>
      </w:r>
      <w:r w:rsidR="00D90C90">
        <w:rPr>
          <w:rFonts w:asciiTheme="minorHAnsi" w:hAnsiTheme="minorHAnsi" w:cs="Arial"/>
          <w:color w:val="000000"/>
          <w:sz w:val="22"/>
          <w:szCs w:val="22"/>
        </w:rPr>
        <w:t>3</w:t>
      </w:r>
      <w:r>
        <w:rPr>
          <w:rFonts w:asciiTheme="minorHAnsi" w:hAnsiTheme="minorHAnsi" w:cs="Arial"/>
          <w:color w:val="000000"/>
          <w:sz w:val="22"/>
          <w:szCs w:val="22"/>
        </w:rPr>
        <w:t>/2</w:t>
      </w:r>
      <w:r w:rsidR="00D90C90">
        <w:rPr>
          <w:rFonts w:asciiTheme="minorHAnsi" w:hAnsiTheme="minorHAnsi" w:cs="Arial"/>
          <w:color w:val="000000"/>
          <w:sz w:val="22"/>
          <w:szCs w:val="22"/>
        </w:rPr>
        <w:t>4</w:t>
      </w:r>
      <w:r w:rsidR="002F2167">
        <w:rPr>
          <w:rFonts w:asciiTheme="minorHAnsi" w:hAnsiTheme="minorHAnsi" w:cs="Arial"/>
          <w:color w:val="000000"/>
          <w:sz w:val="22"/>
          <w:szCs w:val="22"/>
        </w:rPr>
        <w:t xml:space="preserve"> </w:t>
      </w:r>
      <w:r w:rsidRPr="0055270E">
        <w:rPr>
          <w:rFonts w:asciiTheme="minorHAnsi" w:hAnsiTheme="minorHAnsi" w:cs="Arial"/>
          <w:color w:val="000000"/>
          <w:sz w:val="22"/>
          <w:szCs w:val="22"/>
        </w:rPr>
        <w:t xml:space="preserve">minus measured water only and wastewater only revenues.  Customer numbers are consistent with outturn figures in the SWW tariff model for </w:t>
      </w:r>
      <w:r>
        <w:rPr>
          <w:rFonts w:asciiTheme="minorHAnsi" w:hAnsiTheme="minorHAnsi" w:cs="Arial"/>
          <w:color w:val="000000"/>
          <w:sz w:val="22"/>
          <w:szCs w:val="22"/>
        </w:rPr>
        <w:t>202</w:t>
      </w:r>
      <w:r w:rsidR="00D90C90">
        <w:rPr>
          <w:rFonts w:asciiTheme="minorHAnsi" w:hAnsiTheme="minorHAnsi" w:cs="Arial"/>
          <w:color w:val="000000"/>
          <w:sz w:val="22"/>
          <w:szCs w:val="22"/>
        </w:rPr>
        <w:t>3</w:t>
      </w:r>
      <w:r>
        <w:rPr>
          <w:rFonts w:asciiTheme="minorHAnsi" w:hAnsiTheme="minorHAnsi" w:cs="Arial"/>
          <w:color w:val="000000"/>
          <w:sz w:val="22"/>
          <w:szCs w:val="22"/>
        </w:rPr>
        <w:t>/2</w:t>
      </w:r>
      <w:r w:rsidR="00D90C90">
        <w:rPr>
          <w:rFonts w:asciiTheme="minorHAnsi" w:hAnsiTheme="minorHAnsi" w:cs="Arial"/>
          <w:color w:val="000000"/>
          <w:sz w:val="22"/>
          <w:szCs w:val="22"/>
        </w:rPr>
        <w:t>4</w:t>
      </w:r>
    </w:p>
    <w:p w14:paraId="76E18BCF" w14:textId="77777777" w:rsidR="007D1218" w:rsidRPr="0055270E" w:rsidRDefault="007D1218" w:rsidP="007D1218">
      <w:pPr>
        <w:rPr>
          <w:rFonts w:cs="Arial"/>
          <w:color w:val="000000"/>
          <w:highlight w:val="yellow"/>
        </w:rPr>
      </w:pPr>
    </w:p>
    <w:p w14:paraId="45BD7A36" w14:textId="77777777" w:rsidR="007D1218" w:rsidRPr="0055270E" w:rsidRDefault="007D1218" w:rsidP="007D1218">
      <w:pPr>
        <w:pStyle w:val="ListParagraph"/>
        <w:ind w:left="567"/>
        <w:rPr>
          <w:rFonts w:asciiTheme="minorHAnsi" w:hAnsiTheme="minorHAnsi" w:cs="Arial"/>
          <w:color w:val="000000"/>
          <w:sz w:val="22"/>
          <w:szCs w:val="22"/>
          <w:highlight w:val="yellow"/>
        </w:rPr>
      </w:pPr>
    </w:p>
    <w:p w14:paraId="110646C2" w14:textId="77777777" w:rsidR="007D1218" w:rsidRDefault="007D1218" w:rsidP="007D1218">
      <w:pPr>
        <w:pStyle w:val="ListParagraph"/>
        <w:rPr>
          <w:rFonts w:asciiTheme="minorHAnsi" w:hAnsiTheme="minorHAnsi" w:cs="Arial"/>
          <w:color w:val="000000"/>
          <w:sz w:val="22"/>
          <w:szCs w:val="22"/>
          <w:highlight w:val="yellow"/>
        </w:rPr>
      </w:pPr>
    </w:p>
    <w:p w14:paraId="0E04BA57" w14:textId="77777777" w:rsidR="002F2167" w:rsidRDefault="002F2167" w:rsidP="007D1218">
      <w:pPr>
        <w:pStyle w:val="ListParagraph"/>
        <w:rPr>
          <w:rFonts w:asciiTheme="minorHAnsi" w:hAnsiTheme="minorHAnsi" w:cs="Arial"/>
          <w:color w:val="000000"/>
          <w:sz w:val="22"/>
          <w:szCs w:val="22"/>
          <w:highlight w:val="yellow"/>
        </w:rPr>
      </w:pPr>
    </w:p>
    <w:p w14:paraId="09B0B39E" w14:textId="77777777" w:rsidR="002F2167" w:rsidRDefault="002F2167" w:rsidP="007D1218">
      <w:pPr>
        <w:pStyle w:val="ListParagraph"/>
        <w:rPr>
          <w:rFonts w:asciiTheme="minorHAnsi" w:hAnsiTheme="minorHAnsi" w:cs="Arial"/>
          <w:color w:val="000000"/>
          <w:sz w:val="22"/>
          <w:szCs w:val="22"/>
          <w:highlight w:val="yellow"/>
        </w:rPr>
      </w:pPr>
    </w:p>
    <w:p w14:paraId="78F0A068" w14:textId="77777777" w:rsidR="002F2167" w:rsidRPr="0091297D" w:rsidRDefault="002F2167" w:rsidP="007D1218">
      <w:pPr>
        <w:pStyle w:val="ListParagraph"/>
        <w:rPr>
          <w:rFonts w:asciiTheme="minorHAnsi" w:hAnsiTheme="minorHAnsi" w:cs="Arial"/>
          <w:color w:val="000000"/>
          <w:sz w:val="22"/>
          <w:szCs w:val="22"/>
          <w:highlight w:val="yellow"/>
        </w:rPr>
      </w:pPr>
    </w:p>
    <w:p w14:paraId="38D52B7C" w14:textId="77777777" w:rsidR="007D1218" w:rsidRPr="0091297D" w:rsidRDefault="007D1218" w:rsidP="007D1218">
      <w:pPr>
        <w:rPr>
          <w:rFonts w:cs="Arial"/>
          <w:color w:val="000000"/>
          <w:highlight w:val="yellow"/>
        </w:rPr>
      </w:pPr>
    </w:p>
    <w:p w14:paraId="64F217ED" w14:textId="77777777" w:rsidR="007D1218" w:rsidRDefault="007D1218" w:rsidP="00DB4B44">
      <w:pPr>
        <w:pStyle w:val="Heading1"/>
      </w:pPr>
      <w:bookmarkStart w:id="29" w:name="_Toc172019350"/>
      <w:bookmarkEnd w:id="19"/>
      <w:bookmarkEnd w:id="27"/>
      <w:r w:rsidRPr="002F7BC6">
        <w:lastRenderedPageBreak/>
        <w:t>RETAIL HOUSEHOLD ANALYSIS</w:t>
      </w:r>
      <w:bookmarkEnd w:id="29"/>
      <w:r w:rsidRPr="002F7BC6">
        <w:t xml:space="preserve"> </w:t>
      </w:r>
    </w:p>
    <w:p w14:paraId="368CBDCF" w14:textId="77777777" w:rsidR="007D1218" w:rsidRPr="00110699" w:rsidRDefault="007D1218" w:rsidP="007D1218"/>
    <w:p w14:paraId="505A7874" w14:textId="77777777" w:rsidR="007D1218" w:rsidRPr="002F7BC6" w:rsidRDefault="007D1218" w:rsidP="009C3ABF">
      <w:pPr>
        <w:pStyle w:val="ListParagraph"/>
        <w:numPr>
          <w:ilvl w:val="0"/>
          <w:numId w:val="5"/>
        </w:numPr>
        <w:rPr>
          <w:rFonts w:asciiTheme="minorHAnsi" w:hAnsiTheme="minorHAnsi" w:cs="Arial"/>
          <w:vanish/>
          <w:color w:val="000000"/>
          <w:sz w:val="36"/>
          <w:szCs w:val="36"/>
        </w:rPr>
      </w:pPr>
    </w:p>
    <w:p w14:paraId="39CBD435" w14:textId="77777777" w:rsidR="007D1218" w:rsidRPr="002F7BC6" w:rsidRDefault="007D1218" w:rsidP="009C3ABF">
      <w:pPr>
        <w:pStyle w:val="ListParagraph"/>
        <w:numPr>
          <w:ilvl w:val="1"/>
          <w:numId w:val="5"/>
        </w:numPr>
        <w:ind w:left="567" w:hanging="567"/>
        <w:rPr>
          <w:rFonts w:asciiTheme="minorHAnsi" w:hAnsiTheme="minorHAnsi" w:cs="Arial"/>
          <w:color w:val="000000"/>
          <w:sz w:val="22"/>
          <w:szCs w:val="22"/>
        </w:rPr>
      </w:pPr>
      <w:r w:rsidRPr="002F7BC6">
        <w:rPr>
          <w:rFonts w:asciiTheme="minorHAnsi" w:hAnsiTheme="minorHAnsi" w:cs="Arial"/>
          <w:color w:val="000000"/>
          <w:sz w:val="22"/>
          <w:szCs w:val="22"/>
        </w:rPr>
        <w:t>The retail household costs obtained from table 2c are analysed between measured and unmeasured customers and, within each of these categories, across customers receiving water only service, sewerage only service or water &amp; sewerage service.</w:t>
      </w:r>
    </w:p>
    <w:p w14:paraId="5B98B577" w14:textId="77777777" w:rsidR="007D1218" w:rsidRPr="002F7BC6" w:rsidRDefault="007D1218" w:rsidP="007D1218">
      <w:pPr>
        <w:rPr>
          <w:rFonts w:cs="Arial"/>
          <w:color w:val="000000"/>
        </w:rPr>
      </w:pPr>
    </w:p>
    <w:p w14:paraId="0C7689A0" w14:textId="77777777" w:rsidR="007D1218" w:rsidRDefault="007D1218" w:rsidP="009C3ABF">
      <w:pPr>
        <w:pStyle w:val="ListParagraph"/>
        <w:numPr>
          <w:ilvl w:val="1"/>
          <w:numId w:val="5"/>
        </w:numPr>
        <w:ind w:left="567" w:hanging="567"/>
        <w:rPr>
          <w:rFonts w:asciiTheme="minorHAnsi" w:hAnsiTheme="minorHAnsi" w:cs="Arial"/>
          <w:color w:val="000000"/>
          <w:sz w:val="22"/>
          <w:szCs w:val="22"/>
        </w:rPr>
      </w:pPr>
      <w:r w:rsidRPr="002F7BC6">
        <w:rPr>
          <w:rFonts w:asciiTheme="minorHAnsi" w:hAnsiTheme="minorHAnsi" w:cs="Arial"/>
          <w:color w:val="000000"/>
          <w:sz w:val="22"/>
          <w:szCs w:val="22"/>
        </w:rPr>
        <w:t xml:space="preserve">To populate this table, the total household costs have been allocated to the appropriate category based on the number of customers receiving the service as a proportion of the overall customer numbers, as reported in table 2f. </w:t>
      </w:r>
    </w:p>
    <w:p w14:paraId="119959D8" w14:textId="77777777" w:rsidR="00627AA1" w:rsidRPr="00627AA1" w:rsidRDefault="00627AA1" w:rsidP="00627AA1">
      <w:pPr>
        <w:pStyle w:val="ListParagraph"/>
        <w:rPr>
          <w:rFonts w:asciiTheme="minorHAnsi" w:hAnsiTheme="minorHAnsi" w:cs="Arial"/>
          <w:color w:val="000000"/>
          <w:sz w:val="22"/>
          <w:szCs w:val="22"/>
        </w:rPr>
      </w:pPr>
    </w:p>
    <w:p w14:paraId="78A29E21" w14:textId="11127087" w:rsidR="00627AA1" w:rsidRDefault="00627AA1" w:rsidP="009C3ABF">
      <w:pPr>
        <w:pStyle w:val="ListParagraph"/>
        <w:numPr>
          <w:ilvl w:val="1"/>
          <w:numId w:val="5"/>
        </w:numPr>
        <w:ind w:left="567" w:hanging="567"/>
        <w:rPr>
          <w:rFonts w:asciiTheme="minorHAnsi" w:hAnsiTheme="minorHAnsi" w:cs="Arial"/>
          <w:color w:val="000000"/>
          <w:sz w:val="22"/>
          <w:szCs w:val="22"/>
        </w:rPr>
      </w:pPr>
      <w:r>
        <w:rPr>
          <w:rFonts w:asciiTheme="minorHAnsi" w:hAnsiTheme="minorHAnsi" w:cs="Arial"/>
          <w:color w:val="000000"/>
          <w:sz w:val="22"/>
          <w:szCs w:val="22"/>
        </w:rPr>
        <w:t xml:space="preserve">Demand </w:t>
      </w:r>
      <w:r w:rsidRPr="00627AA1">
        <w:rPr>
          <w:rFonts w:asciiTheme="minorHAnsi" w:hAnsiTheme="minorHAnsi" w:cs="Arial"/>
          <w:color w:val="000000"/>
          <w:sz w:val="22"/>
          <w:szCs w:val="22"/>
        </w:rPr>
        <w:t xml:space="preserve">side efficiency and Customer-side leak repairs represent the apportionment of costs from </w:t>
      </w:r>
      <w:proofErr w:type="gramStart"/>
      <w:r w:rsidRPr="00627AA1">
        <w:rPr>
          <w:rFonts w:asciiTheme="minorHAnsi" w:hAnsiTheme="minorHAnsi" w:cs="Arial"/>
          <w:color w:val="000000"/>
          <w:sz w:val="22"/>
          <w:szCs w:val="22"/>
        </w:rPr>
        <w:t>a number of</w:t>
      </w:r>
      <w:proofErr w:type="gramEnd"/>
      <w:r w:rsidRPr="00627AA1">
        <w:rPr>
          <w:rFonts w:asciiTheme="minorHAnsi" w:hAnsiTheme="minorHAnsi" w:cs="Arial"/>
          <w:color w:val="000000"/>
          <w:sz w:val="22"/>
          <w:szCs w:val="22"/>
        </w:rPr>
        <w:t xml:space="preserve"> Retail cost centres, based on management</w:t>
      </w:r>
      <w:r>
        <w:rPr>
          <w:rFonts w:asciiTheme="minorHAnsi" w:hAnsiTheme="minorHAnsi" w:cs="Arial"/>
          <w:color w:val="000000"/>
          <w:sz w:val="22"/>
          <w:szCs w:val="22"/>
        </w:rPr>
        <w:t xml:space="preserve"> assessment.</w:t>
      </w:r>
    </w:p>
    <w:p w14:paraId="039BEC4D" w14:textId="77777777" w:rsidR="007D1218" w:rsidRPr="0091297D" w:rsidRDefault="007D1218" w:rsidP="007D1218">
      <w:pPr>
        <w:rPr>
          <w:rFonts w:cs="Arial"/>
          <w:color w:val="000000"/>
          <w:highlight w:val="yellow"/>
        </w:rPr>
      </w:pPr>
    </w:p>
    <w:p w14:paraId="0FC4ECA4" w14:textId="77777777" w:rsidR="007D1218" w:rsidRPr="0091297D" w:rsidRDefault="007D1218" w:rsidP="007D1218">
      <w:pPr>
        <w:rPr>
          <w:rFonts w:cs="Arial"/>
          <w:color w:val="000000"/>
          <w:highlight w:val="yellow"/>
        </w:rPr>
      </w:pPr>
    </w:p>
    <w:p w14:paraId="10B6F891" w14:textId="77777777" w:rsidR="007D1218" w:rsidRPr="0091297D" w:rsidRDefault="007D1218" w:rsidP="007D1218">
      <w:pPr>
        <w:rPr>
          <w:highlight w:val="yellow"/>
        </w:rPr>
      </w:pPr>
    </w:p>
    <w:p w14:paraId="566A93DD" w14:textId="77777777" w:rsidR="007D1218" w:rsidRPr="0091297D" w:rsidRDefault="007D1218" w:rsidP="007D1218">
      <w:pPr>
        <w:rPr>
          <w:highlight w:val="yellow"/>
        </w:rPr>
      </w:pPr>
    </w:p>
    <w:p w14:paraId="51B7602C" w14:textId="77777777" w:rsidR="007D1218" w:rsidRPr="0091297D" w:rsidRDefault="007D1218" w:rsidP="007D1218">
      <w:pPr>
        <w:rPr>
          <w:highlight w:val="yellow"/>
        </w:rPr>
      </w:pPr>
    </w:p>
    <w:p w14:paraId="02F15E7E" w14:textId="77777777" w:rsidR="007D1218" w:rsidRPr="0091297D" w:rsidRDefault="007D1218" w:rsidP="007D1218">
      <w:pPr>
        <w:rPr>
          <w:highlight w:val="yellow"/>
        </w:rPr>
      </w:pPr>
    </w:p>
    <w:p w14:paraId="00C2A779" w14:textId="77777777" w:rsidR="007D1218" w:rsidRPr="0091297D" w:rsidRDefault="007D1218" w:rsidP="007D1218">
      <w:pPr>
        <w:rPr>
          <w:highlight w:val="yellow"/>
        </w:rPr>
      </w:pPr>
    </w:p>
    <w:p w14:paraId="469F7A11" w14:textId="77777777" w:rsidR="007D1218" w:rsidRPr="0091297D" w:rsidRDefault="007D1218" w:rsidP="007D1218">
      <w:pPr>
        <w:rPr>
          <w:highlight w:val="yellow"/>
        </w:rPr>
      </w:pPr>
    </w:p>
    <w:p w14:paraId="6F1AB5FC" w14:textId="77777777" w:rsidR="007D1218" w:rsidRPr="0091297D" w:rsidRDefault="007D1218" w:rsidP="007D1218">
      <w:pPr>
        <w:rPr>
          <w:highlight w:val="yellow"/>
        </w:rPr>
      </w:pPr>
    </w:p>
    <w:p w14:paraId="6EC46D25" w14:textId="77777777" w:rsidR="007D1218" w:rsidRPr="0091297D" w:rsidRDefault="007D1218" w:rsidP="007D1218">
      <w:pPr>
        <w:rPr>
          <w:highlight w:val="yellow"/>
        </w:rPr>
      </w:pPr>
    </w:p>
    <w:p w14:paraId="009C142A" w14:textId="77777777" w:rsidR="007D1218" w:rsidRPr="0091297D" w:rsidRDefault="007D1218" w:rsidP="007D1218">
      <w:pPr>
        <w:rPr>
          <w:highlight w:val="yellow"/>
        </w:rPr>
      </w:pPr>
    </w:p>
    <w:p w14:paraId="7EBE3C23" w14:textId="77777777" w:rsidR="007D1218" w:rsidRPr="0091297D" w:rsidRDefault="007D1218" w:rsidP="007D1218">
      <w:pPr>
        <w:rPr>
          <w:highlight w:val="yellow"/>
        </w:rPr>
      </w:pPr>
    </w:p>
    <w:p w14:paraId="63160359" w14:textId="77777777" w:rsidR="007D1218" w:rsidRPr="0091297D" w:rsidRDefault="007D1218" w:rsidP="007D1218">
      <w:pPr>
        <w:rPr>
          <w:highlight w:val="yellow"/>
        </w:rPr>
      </w:pPr>
    </w:p>
    <w:p w14:paraId="5E8B63A4" w14:textId="77777777" w:rsidR="007D1218" w:rsidRPr="0091297D" w:rsidRDefault="007D1218" w:rsidP="007D1218">
      <w:pPr>
        <w:rPr>
          <w:highlight w:val="yellow"/>
        </w:rPr>
      </w:pPr>
    </w:p>
    <w:p w14:paraId="247A8384" w14:textId="77777777" w:rsidR="007D1218" w:rsidRPr="0091297D" w:rsidRDefault="007D1218" w:rsidP="007D1218">
      <w:pPr>
        <w:rPr>
          <w:highlight w:val="yellow"/>
        </w:rPr>
      </w:pPr>
    </w:p>
    <w:p w14:paraId="0B1418E0" w14:textId="77777777" w:rsidR="007D1218" w:rsidRPr="0091297D" w:rsidRDefault="007D1218" w:rsidP="007D1218">
      <w:pPr>
        <w:rPr>
          <w:highlight w:val="yellow"/>
        </w:rPr>
      </w:pPr>
    </w:p>
    <w:p w14:paraId="1D0B0C83" w14:textId="77777777" w:rsidR="007D1218" w:rsidRPr="0091297D" w:rsidRDefault="007D1218" w:rsidP="007D1218">
      <w:pPr>
        <w:rPr>
          <w:highlight w:val="yellow"/>
        </w:rPr>
      </w:pPr>
    </w:p>
    <w:p w14:paraId="4BEBCDD6" w14:textId="77777777" w:rsidR="007D1218" w:rsidRPr="0091297D" w:rsidRDefault="007D1218" w:rsidP="007D1218">
      <w:pPr>
        <w:rPr>
          <w:highlight w:val="yellow"/>
        </w:rPr>
      </w:pPr>
    </w:p>
    <w:p w14:paraId="30447930" w14:textId="77777777" w:rsidR="007D1218" w:rsidRPr="0091297D" w:rsidRDefault="007D1218" w:rsidP="007D1218">
      <w:pPr>
        <w:rPr>
          <w:highlight w:val="yellow"/>
        </w:rPr>
      </w:pPr>
    </w:p>
    <w:p w14:paraId="4DE9F63C" w14:textId="77777777" w:rsidR="007D1218" w:rsidRPr="0091297D" w:rsidRDefault="007D1218" w:rsidP="007D1218">
      <w:pPr>
        <w:rPr>
          <w:highlight w:val="yellow"/>
        </w:rPr>
      </w:pPr>
    </w:p>
    <w:p w14:paraId="239846CC" w14:textId="77777777" w:rsidR="007D1218" w:rsidRPr="0091297D" w:rsidRDefault="007D1218" w:rsidP="007D1218">
      <w:pPr>
        <w:rPr>
          <w:highlight w:val="yellow"/>
        </w:rPr>
      </w:pPr>
    </w:p>
    <w:p w14:paraId="23E0C246" w14:textId="77777777" w:rsidR="007D1218" w:rsidRDefault="007D1218" w:rsidP="007D1218">
      <w:pPr>
        <w:rPr>
          <w:rFonts w:ascii="Calibri" w:eastAsia="MS Gothic" w:hAnsi="Calibri"/>
          <w:color w:val="7F7F7F"/>
          <w:spacing w:val="5"/>
          <w:kern w:val="28"/>
          <w:sz w:val="52"/>
          <w:szCs w:val="52"/>
          <w:highlight w:val="yellow"/>
        </w:rPr>
      </w:pPr>
      <w:r>
        <w:rPr>
          <w:highlight w:val="yellow"/>
        </w:rPr>
        <w:br w:type="page"/>
      </w:r>
    </w:p>
    <w:p w14:paraId="0089B9D2" w14:textId="77777777" w:rsidR="007D1218" w:rsidRPr="005F6A24" w:rsidRDefault="007D1218" w:rsidP="00DB4B44">
      <w:pPr>
        <w:pStyle w:val="Heading1"/>
      </w:pPr>
      <w:bookmarkStart w:id="30" w:name="_Toc172019351"/>
      <w:r>
        <w:lastRenderedPageBreak/>
        <w:t>GROUP SHARED SERVICES COST ALLOCATION</w:t>
      </w:r>
      <w:bookmarkEnd w:id="30"/>
    </w:p>
    <w:p w14:paraId="3EAA5E38" w14:textId="77777777" w:rsidR="007D1218" w:rsidRPr="005F6A24" w:rsidRDefault="007D1218" w:rsidP="007D1218">
      <w:pPr>
        <w:rPr>
          <w:rFonts w:cs="Arial"/>
          <w:color w:val="000000"/>
        </w:rPr>
      </w:pPr>
    </w:p>
    <w:p w14:paraId="28ED5546" w14:textId="77777777" w:rsidR="007D1218" w:rsidRPr="005F6A24" w:rsidRDefault="007D1218" w:rsidP="00627AA1">
      <w:pPr>
        <w:pStyle w:val="ListParagraph"/>
        <w:numPr>
          <w:ilvl w:val="0"/>
          <w:numId w:val="12"/>
        </w:numPr>
        <w:rPr>
          <w:rFonts w:asciiTheme="minorHAnsi" w:hAnsiTheme="minorHAnsi" w:cs="Arial"/>
          <w:vanish/>
          <w:color w:val="000000"/>
          <w:sz w:val="22"/>
          <w:szCs w:val="22"/>
        </w:rPr>
      </w:pPr>
    </w:p>
    <w:p w14:paraId="33ED35F2" w14:textId="77777777" w:rsidR="007D1218" w:rsidRPr="005F6A24" w:rsidRDefault="007D1218" w:rsidP="00627AA1">
      <w:pPr>
        <w:pStyle w:val="ListParagraph"/>
        <w:numPr>
          <w:ilvl w:val="1"/>
          <w:numId w:val="12"/>
        </w:numPr>
        <w:ind w:left="567" w:hanging="567"/>
        <w:rPr>
          <w:rFonts w:asciiTheme="minorHAnsi" w:hAnsiTheme="minorHAnsi" w:cs="Arial"/>
          <w:color w:val="000000"/>
          <w:sz w:val="22"/>
          <w:szCs w:val="22"/>
        </w:rPr>
      </w:pPr>
      <w:r w:rsidRPr="005F6A24">
        <w:rPr>
          <w:rFonts w:asciiTheme="minorHAnsi" w:hAnsiTheme="minorHAnsi" w:cs="Arial"/>
          <w:color w:val="000000"/>
          <w:sz w:val="22"/>
          <w:szCs w:val="22"/>
        </w:rPr>
        <w:t xml:space="preserve">The allocation of </w:t>
      </w:r>
      <w:r>
        <w:rPr>
          <w:rFonts w:asciiTheme="minorHAnsi" w:hAnsiTheme="minorHAnsi" w:cs="Arial"/>
          <w:color w:val="000000"/>
          <w:sz w:val="22"/>
          <w:szCs w:val="22"/>
        </w:rPr>
        <w:t>group shared services</w:t>
      </w:r>
      <w:r w:rsidRPr="005F6A24">
        <w:rPr>
          <w:rFonts w:asciiTheme="minorHAnsi" w:hAnsiTheme="minorHAnsi" w:cs="Arial"/>
          <w:color w:val="000000"/>
          <w:sz w:val="22"/>
          <w:szCs w:val="22"/>
        </w:rPr>
        <w:t xml:space="preserve"> costs within South West Water to specific business areas within the appointed and non-appointed business is based upon an assessment of underlying cost drivers according to the nature of resource utilisation.</w:t>
      </w:r>
    </w:p>
    <w:p w14:paraId="2E3B64C0" w14:textId="77777777" w:rsidR="007D1218" w:rsidRPr="005F6A24" w:rsidRDefault="007D1218" w:rsidP="007D1218">
      <w:pPr>
        <w:pStyle w:val="ListParagraph"/>
        <w:ind w:left="567"/>
        <w:rPr>
          <w:rFonts w:asciiTheme="minorHAnsi" w:hAnsiTheme="minorHAnsi" w:cs="Arial"/>
          <w:color w:val="000000"/>
          <w:sz w:val="22"/>
          <w:szCs w:val="22"/>
        </w:rPr>
      </w:pPr>
    </w:p>
    <w:p w14:paraId="3794D971" w14:textId="77777777" w:rsidR="007D1218" w:rsidRPr="005F6A24" w:rsidRDefault="007D1218" w:rsidP="00627AA1">
      <w:pPr>
        <w:pStyle w:val="ListParagraph"/>
        <w:numPr>
          <w:ilvl w:val="1"/>
          <w:numId w:val="12"/>
        </w:numPr>
        <w:ind w:left="567" w:hanging="567"/>
        <w:rPr>
          <w:rFonts w:asciiTheme="minorHAnsi" w:hAnsiTheme="minorHAnsi" w:cs="Arial"/>
          <w:color w:val="000000"/>
          <w:sz w:val="22"/>
          <w:szCs w:val="22"/>
        </w:rPr>
      </w:pPr>
      <w:r w:rsidRPr="005F6A24">
        <w:rPr>
          <w:rFonts w:asciiTheme="minorHAnsi" w:hAnsiTheme="minorHAnsi" w:cs="Arial"/>
          <w:color w:val="000000"/>
          <w:sz w:val="22"/>
          <w:szCs w:val="22"/>
        </w:rPr>
        <w:t>The company has a well-defined basis for allocating certain directly related s</w:t>
      </w:r>
      <w:r>
        <w:rPr>
          <w:rFonts w:asciiTheme="minorHAnsi" w:hAnsiTheme="minorHAnsi" w:cs="Arial"/>
          <w:color w:val="000000"/>
          <w:sz w:val="22"/>
          <w:szCs w:val="22"/>
        </w:rPr>
        <w:t xml:space="preserve">upport costs, such as vehicles </w:t>
      </w:r>
      <w:r w:rsidRPr="005F6A24">
        <w:rPr>
          <w:rFonts w:asciiTheme="minorHAnsi" w:hAnsiTheme="minorHAnsi" w:cs="Arial"/>
          <w:color w:val="000000"/>
          <w:sz w:val="22"/>
          <w:szCs w:val="22"/>
        </w:rPr>
        <w:t>and HR costs which are allocated on the following basis:</w:t>
      </w:r>
    </w:p>
    <w:p w14:paraId="646686A9" w14:textId="77777777" w:rsidR="007D1218" w:rsidRPr="005F6A24" w:rsidRDefault="007D1218" w:rsidP="007D1218">
      <w:pPr>
        <w:rPr>
          <w:rFonts w:cs="Arial"/>
          <w:color w:val="000000"/>
        </w:rPr>
      </w:pPr>
    </w:p>
    <w:tbl>
      <w:tblPr>
        <w:tblStyle w:val="TableGrid"/>
        <w:tblW w:w="0" w:type="auto"/>
        <w:tblInd w:w="675" w:type="dxa"/>
        <w:tblLook w:val="04A0" w:firstRow="1" w:lastRow="0" w:firstColumn="1" w:lastColumn="0" w:noHBand="0" w:noVBand="1"/>
      </w:tblPr>
      <w:tblGrid>
        <w:gridCol w:w="4135"/>
        <w:gridCol w:w="4194"/>
      </w:tblGrid>
      <w:tr w:rsidR="007D1218" w:rsidRPr="005F6A24" w14:paraId="4C0B5232" w14:textId="77777777" w:rsidTr="008B45DA">
        <w:tc>
          <w:tcPr>
            <w:tcW w:w="4135" w:type="dxa"/>
            <w:shd w:val="clear" w:color="auto" w:fill="D5DCE4" w:themeFill="text2" w:themeFillTint="33"/>
          </w:tcPr>
          <w:p w14:paraId="4C48ED97" w14:textId="77777777" w:rsidR="007D1218" w:rsidRPr="005F6A24" w:rsidRDefault="007D1218" w:rsidP="008B45DA">
            <w:pPr>
              <w:pStyle w:val="ListParagraph"/>
              <w:ind w:left="0"/>
              <w:rPr>
                <w:rFonts w:asciiTheme="minorHAnsi" w:hAnsiTheme="minorHAnsi" w:cs="Arial"/>
                <w:b/>
                <w:color w:val="000000"/>
                <w:sz w:val="22"/>
                <w:szCs w:val="22"/>
              </w:rPr>
            </w:pPr>
            <w:r w:rsidRPr="005F6A24">
              <w:rPr>
                <w:rFonts w:asciiTheme="minorHAnsi" w:hAnsiTheme="minorHAnsi" w:cs="Arial"/>
                <w:b/>
                <w:color w:val="000000"/>
                <w:sz w:val="22"/>
                <w:szCs w:val="22"/>
              </w:rPr>
              <w:t>Cost</w:t>
            </w:r>
          </w:p>
        </w:tc>
        <w:tc>
          <w:tcPr>
            <w:tcW w:w="4194" w:type="dxa"/>
            <w:shd w:val="clear" w:color="auto" w:fill="D5DCE4" w:themeFill="text2" w:themeFillTint="33"/>
          </w:tcPr>
          <w:p w14:paraId="24CF9EC9" w14:textId="77777777" w:rsidR="007D1218" w:rsidRPr="005F6A24" w:rsidRDefault="007D1218" w:rsidP="008B45DA">
            <w:pPr>
              <w:pStyle w:val="ListParagraph"/>
              <w:ind w:left="0"/>
              <w:rPr>
                <w:rFonts w:asciiTheme="minorHAnsi" w:hAnsiTheme="minorHAnsi" w:cs="Arial"/>
                <w:b/>
                <w:color w:val="000000"/>
                <w:sz w:val="22"/>
                <w:szCs w:val="22"/>
              </w:rPr>
            </w:pPr>
            <w:r w:rsidRPr="005F6A24">
              <w:rPr>
                <w:rFonts w:asciiTheme="minorHAnsi" w:hAnsiTheme="minorHAnsi" w:cs="Arial"/>
                <w:b/>
                <w:color w:val="000000"/>
                <w:sz w:val="22"/>
                <w:szCs w:val="22"/>
              </w:rPr>
              <w:t>Allocation basis</w:t>
            </w:r>
          </w:p>
        </w:tc>
      </w:tr>
      <w:tr w:rsidR="007D1218" w:rsidRPr="005F6A24" w14:paraId="067503A2" w14:textId="77777777" w:rsidTr="008B45DA">
        <w:tc>
          <w:tcPr>
            <w:tcW w:w="4135" w:type="dxa"/>
          </w:tcPr>
          <w:p w14:paraId="695D2573" w14:textId="77777777" w:rsidR="007D1218" w:rsidRPr="005F6A24" w:rsidRDefault="007D1218" w:rsidP="008B45DA">
            <w:pPr>
              <w:pStyle w:val="ListParagraph"/>
              <w:ind w:left="0"/>
              <w:rPr>
                <w:rFonts w:asciiTheme="minorHAnsi" w:hAnsiTheme="minorHAnsi" w:cs="Arial"/>
                <w:color w:val="000000"/>
                <w:sz w:val="22"/>
                <w:szCs w:val="22"/>
              </w:rPr>
            </w:pPr>
            <w:r>
              <w:rPr>
                <w:rFonts w:asciiTheme="minorHAnsi" w:hAnsiTheme="minorHAnsi" w:cs="Arial"/>
                <w:color w:val="000000"/>
                <w:sz w:val="22"/>
                <w:szCs w:val="22"/>
              </w:rPr>
              <w:t>Transport, v</w:t>
            </w:r>
            <w:r w:rsidRPr="005F6A24">
              <w:rPr>
                <w:rFonts w:asciiTheme="minorHAnsi" w:hAnsiTheme="minorHAnsi" w:cs="Arial"/>
                <w:color w:val="000000"/>
                <w:sz w:val="22"/>
                <w:szCs w:val="22"/>
              </w:rPr>
              <w:t>ehicles &amp; plant</w:t>
            </w:r>
          </w:p>
        </w:tc>
        <w:tc>
          <w:tcPr>
            <w:tcW w:w="4194" w:type="dxa"/>
          </w:tcPr>
          <w:p w14:paraId="35728C16" w14:textId="77777777" w:rsidR="007D1218" w:rsidRPr="005F6A24" w:rsidRDefault="007D1218" w:rsidP="008B45DA">
            <w:pPr>
              <w:pStyle w:val="ListParagraph"/>
              <w:ind w:left="0"/>
              <w:rPr>
                <w:rFonts w:asciiTheme="minorHAnsi" w:hAnsiTheme="minorHAnsi" w:cs="Arial"/>
                <w:color w:val="000000"/>
                <w:sz w:val="22"/>
                <w:szCs w:val="22"/>
              </w:rPr>
            </w:pPr>
            <w:r w:rsidRPr="005F6A24">
              <w:rPr>
                <w:rFonts w:asciiTheme="minorHAnsi" w:hAnsiTheme="minorHAnsi" w:cs="Arial"/>
                <w:color w:val="000000"/>
                <w:sz w:val="22"/>
                <w:szCs w:val="22"/>
              </w:rPr>
              <w:t>Directly attributable based on usage</w:t>
            </w:r>
          </w:p>
        </w:tc>
      </w:tr>
      <w:tr w:rsidR="007D1218" w:rsidRPr="005F6A24" w14:paraId="2D9B31A1" w14:textId="77777777" w:rsidTr="008B45DA">
        <w:tc>
          <w:tcPr>
            <w:tcW w:w="4135" w:type="dxa"/>
          </w:tcPr>
          <w:p w14:paraId="521916F2" w14:textId="77777777" w:rsidR="007D1218" w:rsidRPr="005F6A24" w:rsidRDefault="007D1218" w:rsidP="008B45DA">
            <w:pPr>
              <w:pStyle w:val="ListParagraph"/>
              <w:ind w:left="0"/>
              <w:rPr>
                <w:rFonts w:asciiTheme="minorHAnsi" w:hAnsiTheme="minorHAnsi" w:cs="Arial"/>
                <w:color w:val="000000"/>
                <w:sz w:val="22"/>
                <w:szCs w:val="22"/>
              </w:rPr>
            </w:pPr>
            <w:r w:rsidRPr="005F6A24">
              <w:rPr>
                <w:rFonts w:asciiTheme="minorHAnsi" w:hAnsiTheme="minorHAnsi" w:cs="Arial"/>
                <w:color w:val="000000"/>
                <w:sz w:val="22"/>
                <w:szCs w:val="22"/>
              </w:rPr>
              <w:t>Human Resources (HR)</w:t>
            </w:r>
          </w:p>
        </w:tc>
        <w:tc>
          <w:tcPr>
            <w:tcW w:w="4194" w:type="dxa"/>
          </w:tcPr>
          <w:p w14:paraId="27922B7D" w14:textId="77777777" w:rsidR="007D1218" w:rsidRPr="005F6A24" w:rsidRDefault="007D1218" w:rsidP="008B45DA">
            <w:pPr>
              <w:pStyle w:val="ListParagraph"/>
              <w:ind w:left="0"/>
              <w:rPr>
                <w:rFonts w:asciiTheme="minorHAnsi" w:hAnsiTheme="minorHAnsi" w:cs="Arial"/>
                <w:color w:val="000000"/>
                <w:sz w:val="22"/>
                <w:szCs w:val="22"/>
              </w:rPr>
            </w:pPr>
            <w:r w:rsidRPr="005F6A24">
              <w:rPr>
                <w:rFonts w:asciiTheme="minorHAnsi" w:hAnsiTheme="minorHAnsi" w:cs="Arial"/>
                <w:color w:val="000000"/>
                <w:sz w:val="22"/>
                <w:szCs w:val="22"/>
              </w:rPr>
              <w:t>FTE’s</w:t>
            </w:r>
          </w:p>
        </w:tc>
      </w:tr>
    </w:tbl>
    <w:p w14:paraId="35CBB173" w14:textId="77777777" w:rsidR="007D1218" w:rsidRPr="005F6A24" w:rsidRDefault="007D1218" w:rsidP="007D1218">
      <w:pPr>
        <w:rPr>
          <w:rFonts w:cs="Arial"/>
          <w:color w:val="000000"/>
        </w:rPr>
      </w:pPr>
    </w:p>
    <w:p w14:paraId="626358F3" w14:textId="77777777" w:rsidR="007D1218" w:rsidRDefault="007D1218" w:rsidP="00627AA1">
      <w:pPr>
        <w:pStyle w:val="ListParagraph"/>
        <w:numPr>
          <w:ilvl w:val="1"/>
          <w:numId w:val="12"/>
        </w:numPr>
        <w:ind w:left="567" w:hanging="567"/>
        <w:rPr>
          <w:rFonts w:asciiTheme="minorHAnsi" w:hAnsiTheme="minorHAnsi" w:cs="Arial"/>
          <w:color w:val="000000"/>
          <w:sz w:val="22"/>
          <w:szCs w:val="22"/>
        </w:rPr>
      </w:pPr>
      <w:r>
        <w:rPr>
          <w:rFonts w:asciiTheme="minorHAnsi" w:hAnsiTheme="minorHAnsi" w:cs="Arial"/>
          <w:color w:val="000000"/>
          <w:sz w:val="22"/>
          <w:szCs w:val="22"/>
        </w:rPr>
        <w:t xml:space="preserve">In addition to the direct costs charged to SWW business functions, </w:t>
      </w:r>
      <w:r w:rsidRPr="008D1CC7">
        <w:rPr>
          <w:rFonts w:asciiTheme="minorHAnsi" w:hAnsiTheme="minorHAnsi" w:cs="Arial"/>
          <w:color w:val="000000"/>
          <w:sz w:val="22"/>
          <w:szCs w:val="22"/>
        </w:rPr>
        <w:t>group wide shared services activities are allocated out</w:t>
      </w:r>
      <w:r>
        <w:rPr>
          <w:rFonts w:asciiTheme="minorHAnsi" w:hAnsiTheme="minorHAnsi" w:cs="Arial"/>
          <w:color w:val="000000"/>
          <w:sz w:val="22"/>
          <w:szCs w:val="22"/>
        </w:rPr>
        <w:t xml:space="preserve"> </w:t>
      </w:r>
      <w:r w:rsidRPr="008D1CC7">
        <w:rPr>
          <w:rFonts w:asciiTheme="minorHAnsi" w:hAnsiTheme="minorHAnsi" w:cs="Arial"/>
          <w:color w:val="000000"/>
          <w:sz w:val="22"/>
          <w:szCs w:val="22"/>
        </w:rPr>
        <w:t>to the SWW directorates and business functions</w:t>
      </w:r>
      <w:r>
        <w:rPr>
          <w:rFonts w:asciiTheme="minorHAnsi" w:hAnsiTheme="minorHAnsi" w:cs="Arial"/>
          <w:color w:val="000000"/>
          <w:sz w:val="22"/>
          <w:szCs w:val="22"/>
        </w:rPr>
        <w:t xml:space="preserve"> by a detailed assessment of the appropriate costs incurred by the individual business functions.</w:t>
      </w:r>
    </w:p>
    <w:p w14:paraId="185849C2" w14:textId="77777777" w:rsidR="007D1218" w:rsidRPr="005F6A24" w:rsidRDefault="007D1218" w:rsidP="007D1218">
      <w:pPr>
        <w:pStyle w:val="ListParagraph"/>
        <w:ind w:left="567"/>
        <w:rPr>
          <w:rFonts w:asciiTheme="minorHAnsi" w:hAnsiTheme="minorHAnsi" w:cs="Arial"/>
          <w:color w:val="000000"/>
          <w:sz w:val="22"/>
          <w:szCs w:val="22"/>
        </w:rPr>
      </w:pPr>
    </w:p>
    <w:p w14:paraId="0E124509" w14:textId="77777777" w:rsidR="007D1218" w:rsidRPr="005F6A24" w:rsidRDefault="007D1218" w:rsidP="00627AA1">
      <w:pPr>
        <w:pStyle w:val="ListParagraph"/>
        <w:numPr>
          <w:ilvl w:val="1"/>
          <w:numId w:val="12"/>
        </w:numPr>
        <w:ind w:left="567" w:hanging="567"/>
        <w:rPr>
          <w:rFonts w:asciiTheme="minorHAnsi" w:hAnsiTheme="minorHAnsi" w:cs="Arial"/>
          <w:color w:val="000000"/>
          <w:sz w:val="22"/>
          <w:szCs w:val="22"/>
        </w:rPr>
      </w:pPr>
      <w:r w:rsidRPr="005F6A24">
        <w:rPr>
          <w:rFonts w:asciiTheme="minorHAnsi" w:hAnsiTheme="minorHAnsi" w:cs="Arial"/>
          <w:color w:val="000000"/>
          <w:sz w:val="22"/>
          <w:szCs w:val="22"/>
        </w:rPr>
        <w:t xml:space="preserve">Where there are elements of business support and corporate costs which have no obvious connection to operational activities (and which do not necessarily increase or decrease in line with the level of operational activities) judgement has been used to select the most appropriate method of allocation, for example FTE’s. </w:t>
      </w:r>
    </w:p>
    <w:p w14:paraId="6DEF2E87" w14:textId="77777777" w:rsidR="007D1218" w:rsidRPr="008D1CC7" w:rsidRDefault="007D1218" w:rsidP="007D1218">
      <w:pPr>
        <w:rPr>
          <w:rFonts w:cs="Arial"/>
          <w:color w:val="000000"/>
        </w:rPr>
      </w:pPr>
    </w:p>
    <w:p w14:paraId="0BD8DD18" w14:textId="77777777" w:rsidR="007D1218" w:rsidRPr="00871E9D" w:rsidRDefault="007D1218" w:rsidP="00627AA1">
      <w:pPr>
        <w:pStyle w:val="ListParagraph"/>
        <w:numPr>
          <w:ilvl w:val="1"/>
          <w:numId w:val="12"/>
        </w:numPr>
        <w:ind w:left="567" w:hanging="567"/>
        <w:rPr>
          <w:rFonts w:asciiTheme="minorHAnsi" w:hAnsiTheme="minorHAnsi" w:cs="Arial"/>
          <w:color w:val="000000"/>
          <w:sz w:val="22"/>
          <w:szCs w:val="22"/>
        </w:rPr>
      </w:pPr>
      <w:r w:rsidRPr="00871E9D">
        <w:rPr>
          <w:rFonts w:asciiTheme="minorHAnsi" w:hAnsiTheme="minorHAnsi" w:cs="Arial"/>
          <w:color w:val="000000"/>
          <w:sz w:val="22"/>
          <w:szCs w:val="22"/>
        </w:rPr>
        <w:t xml:space="preserve">Where support costs are not specifically </w:t>
      </w:r>
      <w:proofErr w:type="gramStart"/>
      <w:r w:rsidRPr="00871E9D">
        <w:rPr>
          <w:rFonts w:asciiTheme="minorHAnsi" w:hAnsiTheme="minorHAnsi" w:cs="Arial"/>
          <w:color w:val="000000"/>
          <w:sz w:val="22"/>
          <w:szCs w:val="22"/>
        </w:rPr>
        <w:t>allocated</w:t>
      </w:r>
      <w:proofErr w:type="gramEnd"/>
      <w:r w:rsidRPr="00871E9D">
        <w:rPr>
          <w:rFonts w:asciiTheme="minorHAnsi" w:hAnsiTheme="minorHAnsi" w:cs="Arial"/>
          <w:color w:val="000000"/>
          <w:sz w:val="22"/>
          <w:szCs w:val="22"/>
        </w:rPr>
        <w:t xml:space="preserve"> they are apportioned pro rata to the relevant elements of direct or total cost for each business area (including non-appointed) subject to management assessment of the effect of direct costs.</w:t>
      </w:r>
    </w:p>
    <w:p w14:paraId="19A69280" w14:textId="77777777" w:rsidR="007D1218" w:rsidRPr="00F51B54" w:rsidRDefault="007D1218" w:rsidP="007D1218">
      <w:pPr>
        <w:pStyle w:val="Title"/>
        <w:rPr>
          <w:rFonts w:asciiTheme="minorHAnsi" w:hAnsiTheme="minorHAnsi" w:cs="Arial"/>
          <w:color w:val="000000"/>
          <w:sz w:val="22"/>
          <w:szCs w:val="22"/>
          <w:highlight w:val="yellow"/>
        </w:rPr>
      </w:pPr>
    </w:p>
    <w:p w14:paraId="264EF57E" w14:textId="77777777" w:rsidR="007D1218" w:rsidRPr="0091297D" w:rsidRDefault="007D1218" w:rsidP="007D1218">
      <w:pPr>
        <w:rPr>
          <w:b/>
          <w:highlight w:val="yellow"/>
        </w:rPr>
      </w:pPr>
      <w:bookmarkStart w:id="31" w:name="_Toc356995379"/>
      <w:bookmarkStart w:id="32" w:name="_Toc389044482"/>
      <w:r w:rsidRPr="0091297D">
        <w:rPr>
          <w:highlight w:val="yellow"/>
        </w:rPr>
        <w:br w:type="page"/>
      </w:r>
    </w:p>
    <w:p w14:paraId="3E2CB711" w14:textId="77777777" w:rsidR="007D1218" w:rsidRPr="00B40DF4" w:rsidRDefault="007D1218" w:rsidP="00DB4B44">
      <w:pPr>
        <w:pStyle w:val="Heading1"/>
      </w:pPr>
      <w:bookmarkStart w:id="33" w:name="_Toc172019352"/>
      <w:bookmarkEnd w:id="31"/>
      <w:bookmarkEnd w:id="32"/>
      <w:r w:rsidRPr="00B40DF4">
        <w:lastRenderedPageBreak/>
        <w:t>CAPITAL MAINTENANCE COSTS</w:t>
      </w:r>
      <w:bookmarkEnd w:id="33"/>
      <w:r w:rsidRPr="00B40DF4">
        <w:tab/>
      </w:r>
      <w:r w:rsidRPr="00B40DF4">
        <w:tab/>
      </w:r>
    </w:p>
    <w:p w14:paraId="5477EE47" w14:textId="77777777" w:rsidR="007D1218" w:rsidRPr="00B40DF4" w:rsidRDefault="007D1218" w:rsidP="007D1218">
      <w:pPr>
        <w:pStyle w:val="ListParagraph"/>
        <w:ind w:left="360"/>
        <w:rPr>
          <w:rFonts w:asciiTheme="minorHAnsi" w:hAnsiTheme="minorHAnsi"/>
          <w:b/>
        </w:rPr>
      </w:pPr>
    </w:p>
    <w:p w14:paraId="17FCF13D" w14:textId="77777777" w:rsidR="007D1218" w:rsidRPr="00B40DF4" w:rsidRDefault="007D1218" w:rsidP="00627AA1">
      <w:pPr>
        <w:pStyle w:val="ListParagraph"/>
        <w:numPr>
          <w:ilvl w:val="0"/>
          <w:numId w:val="12"/>
        </w:numPr>
        <w:rPr>
          <w:rFonts w:asciiTheme="minorHAnsi" w:hAnsiTheme="minorHAnsi" w:cs="Arial"/>
          <w:vanish/>
          <w:color w:val="000000"/>
          <w:sz w:val="22"/>
          <w:szCs w:val="22"/>
        </w:rPr>
      </w:pPr>
    </w:p>
    <w:p w14:paraId="5DBF63A9" w14:textId="06FF1EE5"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 xml:space="preserve">Capital maintenance costs, relating only to the wholesale business, are reported </w:t>
      </w:r>
      <w:r w:rsidR="0039575B">
        <w:rPr>
          <w:rFonts w:asciiTheme="minorHAnsi" w:hAnsiTheme="minorHAnsi" w:cs="Arial"/>
          <w:color w:val="000000"/>
          <w:sz w:val="22"/>
          <w:szCs w:val="22"/>
        </w:rPr>
        <w:t>in tables 4J and 4K</w:t>
      </w:r>
      <w:r w:rsidRPr="00B40DF4">
        <w:rPr>
          <w:rFonts w:asciiTheme="minorHAnsi" w:hAnsiTheme="minorHAnsi" w:cs="Arial"/>
          <w:color w:val="000000"/>
          <w:sz w:val="22"/>
          <w:szCs w:val="22"/>
        </w:rPr>
        <w:t>.  The value is the full current cost depreciation (CCD) charge plus the estimated Infrastructure Renewals Charge (IRC) with limited deductions for non-infrastructure grant amortisation and recharges.</w:t>
      </w:r>
    </w:p>
    <w:p w14:paraId="125F3492" w14:textId="77777777" w:rsidR="007D1218" w:rsidRPr="00B40DF4" w:rsidRDefault="007D1218" w:rsidP="007D1218">
      <w:pPr>
        <w:rPr>
          <w:rFonts w:cs="Arial"/>
          <w:color w:val="000000"/>
        </w:rPr>
      </w:pPr>
    </w:p>
    <w:p w14:paraId="69708746" w14:textId="77777777"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Current cost depreciation is as calculated in the RAM CCA fixed assets register.  In accordance with recently updated Ofwat guidance, where assets are the subject of allocations between wholesale and retail activities, or between those activities and non-appointed activities, depreciation is allocated to the principal activity and any reallocation of depreciation costs is treated as a recharge between segments (Table 2A).  All relevant depreciation has accordingly been treated as wholesale depreciation.</w:t>
      </w:r>
    </w:p>
    <w:p w14:paraId="1D027826" w14:textId="77777777" w:rsidR="007D1218" w:rsidRPr="00B40DF4" w:rsidRDefault="007D1218" w:rsidP="007D1218">
      <w:pPr>
        <w:rPr>
          <w:rFonts w:cs="Arial"/>
          <w:color w:val="000000"/>
        </w:rPr>
      </w:pPr>
    </w:p>
    <w:p w14:paraId="02C81CFB" w14:textId="79C3DDB4" w:rsidR="007D1218" w:rsidRPr="00D96AFA" w:rsidRDefault="007D1218" w:rsidP="00627AA1">
      <w:pPr>
        <w:pStyle w:val="ListParagraph"/>
        <w:numPr>
          <w:ilvl w:val="1"/>
          <w:numId w:val="12"/>
        </w:numPr>
        <w:ind w:left="567" w:hanging="567"/>
        <w:rPr>
          <w:rFonts w:asciiTheme="minorHAnsi" w:hAnsiTheme="minorHAnsi" w:cs="Arial"/>
          <w:color w:val="000000"/>
          <w:sz w:val="22"/>
          <w:szCs w:val="22"/>
        </w:rPr>
      </w:pPr>
      <w:r w:rsidRPr="00D96AFA">
        <w:rPr>
          <w:rFonts w:asciiTheme="minorHAnsi" w:hAnsiTheme="minorHAnsi" w:cs="Arial"/>
          <w:color w:val="000000"/>
          <w:sz w:val="22"/>
          <w:szCs w:val="22"/>
        </w:rPr>
        <w:t xml:space="preserve">The values exclude CCA depreciation charged in </w:t>
      </w:r>
      <w:r>
        <w:rPr>
          <w:rFonts w:asciiTheme="minorHAnsi" w:hAnsiTheme="minorHAnsi" w:cs="Arial"/>
          <w:color w:val="000000"/>
          <w:sz w:val="22"/>
          <w:szCs w:val="22"/>
        </w:rPr>
        <w:t>202</w:t>
      </w:r>
      <w:r w:rsidR="00627AA1">
        <w:rPr>
          <w:rFonts w:asciiTheme="minorHAnsi" w:hAnsiTheme="minorHAnsi" w:cs="Arial"/>
          <w:color w:val="000000"/>
          <w:sz w:val="22"/>
          <w:szCs w:val="22"/>
        </w:rPr>
        <w:t>3</w:t>
      </w:r>
      <w:r>
        <w:rPr>
          <w:rFonts w:asciiTheme="minorHAnsi" w:hAnsiTheme="minorHAnsi" w:cs="Arial"/>
          <w:color w:val="000000"/>
          <w:sz w:val="22"/>
          <w:szCs w:val="22"/>
        </w:rPr>
        <w:t>/2</w:t>
      </w:r>
      <w:r w:rsidR="00627AA1">
        <w:rPr>
          <w:rFonts w:asciiTheme="minorHAnsi" w:hAnsiTheme="minorHAnsi" w:cs="Arial"/>
          <w:color w:val="000000"/>
          <w:sz w:val="22"/>
          <w:szCs w:val="22"/>
        </w:rPr>
        <w:t>4</w:t>
      </w:r>
      <w:r w:rsidRPr="00D96AFA">
        <w:rPr>
          <w:rFonts w:asciiTheme="minorHAnsi" w:hAnsiTheme="minorHAnsi" w:cs="Arial"/>
          <w:color w:val="000000"/>
          <w:sz w:val="22"/>
          <w:szCs w:val="22"/>
        </w:rPr>
        <w:t xml:space="preserve"> on interest capitalised in </w:t>
      </w:r>
      <w:r>
        <w:rPr>
          <w:rFonts w:asciiTheme="minorHAnsi" w:hAnsiTheme="minorHAnsi" w:cs="Arial"/>
          <w:color w:val="000000"/>
          <w:sz w:val="22"/>
          <w:szCs w:val="22"/>
        </w:rPr>
        <w:t>202</w:t>
      </w:r>
      <w:r w:rsidR="00627AA1">
        <w:rPr>
          <w:rFonts w:asciiTheme="minorHAnsi" w:hAnsiTheme="minorHAnsi" w:cs="Arial"/>
          <w:color w:val="000000"/>
          <w:sz w:val="22"/>
          <w:szCs w:val="22"/>
        </w:rPr>
        <w:t>2</w:t>
      </w:r>
      <w:r>
        <w:rPr>
          <w:rFonts w:asciiTheme="minorHAnsi" w:hAnsiTheme="minorHAnsi" w:cs="Arial"/>
          <w:color w:val="000000"/>
          <w:sz w:val="22"/>
          <w:szCs w:val="22"/>
        </w:rPr>
        <w:t>/2</w:t>
      </w:r>
      <w:r w:rsidR="00627AA1">
        <w:rPr>
          <w:rFonts w:asciiTheme="minorHAnsi" w:hAnsiTheme="minorHAnsi" w:cs="Arial"/>
          <w:color w:val="000000"/>
          <w:sz w:val="22"/>
          <w:szCs w:val="22"/>
        </w:rPr>
        <w:t>3</w:t>
      </w:r>
      <w:r>
        <w:rPr>
          <w:rFonts w:asciiTheme="minorHAnsi" w:hAnsiTheme="minorHAnsi" w:cs="Arial"/>
          <w:color w:val="000000"/>
          <w:sz w:val="22"/>
          <w:szCs w:val="22"/>
        </w:rPr>
        <w:t xml:space="preserve">, </w:t>
      </w:r>
      <w:r w:rsidRPr="00D96AFA">
        <w:rPr>
          <w:rFonts w:asciiTheme="minorHAnsi" w:hAnsiTheme="minorHAnsi" w:cs="Arial"/>
          <w:color w:val="000000"/>
          <w:sz w:val="22"/>
          <w:szCs w:val="22"/>
        </w:rPr>
        <w:t>in accordance with Ofwat’s instructions.  This asset has been excluded from the CCA register values.</w:t>
      </w:r>
    </w:p>
    <w:p w14:paraId="520C6E1F" w14:textId="77777777" w:rsidR="007D1218" w:rsidRPr="00B40DF4" w:rsidRDefault="007D1218" w:rsidP="007D1218">
      <w:pPr>
        <w:rPr>
          <w:rFonts w:cs="Arial"/>
          <w:color w:val="000000"/>
        </w:rPr>
      </w:pPr>
      <w:r w:rsidRPr="00B40DF4">
        <w:rPr>
          <w:rFonts w:cs="Arial"/>
          <w:color w:val="000000"/>
        </w:rPr>
        <w:br w:type="page"/>
      </w:r>
    </w:p>
    <w:p w14:paraId="41E98A28" w14:textId="77777777" w:rsidR="007D1218" w:rsidRDefault="007D1218" w:rsidP="00DB4B44">
      <w:pPr>
        <w:pStyle w:val="Heading1"/>
      </w:pPr>
      <w:bookmarkStart w:id="34" w:name="_Toc172019353"/>
      <w:r w:rsidRPr="00B40DF4">
        <w:lastRenderedPageBreak/>
        <w:t>CURRENT COST DEPRECIATION CHARGE</w:t>
      </w:r>
      <w:bookmarkEnd w:id="34"/>
      <w:r w:rsidRPr="00B40DF4">
        <w:tab/>
      </w:r>
    </w:p>
    <w:p w14:paraId="409F8381" w14:textId="77777777" w:rsidR="00DB4B44" w:rsidRPr="00DB4B44" w:rsidRDefault="00DB4B44" w:rsidP="00DB4B44"/>
    <w:p w14:paraId="37660AC8" w14:textId="77777777" w:rsidR="007D1218" w:rsidRPr="00B40DF4" w:rsidRDefault="007D1218" w:rsidP="00627AA1">
      <w:pPr>
        <w:pStyle w:val="ListParagraph"/>
        <w:numPr>
          <w:ilvl w:val="0"/>
          <w:numId w:val="12"/>
        </w:numPr>
        <w:rPr>
          <w:rFonts w:asciiTheme="minorHAnsi" w:hAnsiTheme="minorHAnsi" w:cs="Arial"/>
          <w:vanish/>
          <w:color w:val="000000"/>
          <w:sz w:val="22"/>
          <w:szCs w:val="22"/>
        </w:rPr>
      </w:pPr>
    </w:p>
    <w:p w14:paraId="60B863DC" w14:textId="77777777"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Depreciation is not usually charged by the company on capital work in progress (WIP) balances as these balances mainly relate to incomplete projects for which no depreciation is appropriate.</w:t>
      </w:r>
    </w:p>
    <w:p w14:paraId="1CDBDA85" w14:textId="77777777" w:rsidR="007D1218" w:rsidRPr="00B40DF4" w:rsidRDefault="007D1218" w:rsidP="007D1218">
      <w:pPr>
        <w:pStyle w:val="ListParagraph"/>
        <w:ind w:left="567"/>
        <w:rPr>
          <w:rFonts w:asciiTheme="minorHAnsi" w:hAnsiTheme="minorHAnsi" w:cs="Arial"/>
          <w:color w:val="000000"/>
          <w:sz w:val="22"/>
          <w:szCs w:val="22"/>
        </w:rPr>
      </w:pPr>
    </w:p>
    <w:p w14:paraId="395AF3DD" w14:textId="77777777"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 xml:space="preserve">Depreciation is calculated </w:t>
      </w:r>
      <w:proofErr w:type="gramStart"/>
      <w:r w:rsidRPr="00B40DF4">
        <w:rPr>
          <w:rFonts w:asciiTheme="minorHAnsi" w:hAnsiTheme="minorHAnsi" w:cs="Arial"/>
          <w:color w:val="000000"/>
          <w:sz w:val="22"/>
          <w:szCs w:val="22"/>
        </w:rPr>
        <w:t>on a monthly basis</w:t>
      </w:r>
      <w:proofErr w:type="gramEnd"/>
      <w:r w:rsidRPr="00B40DF4">
        <w:rPr>
          <w:rFonts w:asciiTheme="minorHAnsi" w:hAnsiTheme="minorHAnsi" w:cs="Arial"/>
          <w:color w:val="000000"/>
          <w:sz w:val="22"/>
          <w:szCs w:val="22"/>
        </w:rPr>
        <w:t>.</w:t>
      </w:r>
    </w:p>
    <w:p w14:paraId="714A2D10" w14:textId="77777777" w:rsidR="007D1218" w:rsidRPr="00B40DF4" w:rsidRDefault="007D1218" w:rsidP="007D1218">
      <w:pPr>
        <w:pStyle w:val="ListParagraph"/>
        <w:ind w:left="567"/>
        <w:rPr>
          <w:rFonts w:asciiTheme="minorHAnsi" w:hAnsiTheme="minorHAnsi" w:cs="Arial"/>
          <w:color w:val="000000"/>
          <w:sz w:val="22"/>
          <w:szCs w:val="22"/>
        </w:rPr>
      </w:pPr>
    </w:p>
    <w:p w14:paraId="45AFBF77" w14:textId="77777777"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 xml:space="preserve">Depreciation charged on assets added to the CCA register during the year is identical to the historical cost accounting (HCA) charge as no indexation is applied in the first year. </w:t>
      </w:r>
    </w:p>
    <w:p w14:paraId="02510D6E" w14:textId="77777777" w:rsidR="007D1218" w:rsidRPr="00B40DF4" w:rsidRDefault="007D1218" w:rsidP="007D1218">
      <w:pPr>
        <w:pStyle w:val="ListParagraph"/>
        <w:ind w:left="567"/>
        <w:rPr>
          <w:rFonts w:asciiTheme="minorHAnsi" w:hAnsiTheme="minorHAnsi" w:cs="Arial"/>
          <w:color w:val="000000"/>
          <w:sz w:val="22"/>
          <w:szCs w:val="22"/>
        </w:rPr>
      </w:pPr>
    </w:p>
    <w:p w14:paraId="7A7CD63A" w14:textId="77777777"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No depreciation is charged on infrastructure assets.  The equivalent cost for these assets is the infrastructure renewals charge included as part of the current cost capital maintenance charges.</w:t>
      </w:r>
      <w:bookmarkStart w:id="35" w:name="_Toc356995381"/>
      <w:bookmarkStart w:id="36" w:name="_Toc389044484"/>
    </w:p>
    <w:p w14:paraId="223361CA" w14:textId="77777777" w:rsidR="007D1218" w:rsidRPr="00B40DF4" w:rsidRDefault="007D1218" w:rsidP="007D1218">
      <w:pPr>
        <w:pStyle w:val="ListParagraph"/>
        <w:ind w:left="567"/>
        <w:rPr>
          <w:rFonts w:asciiTheme="minorHAnsi" w:hAnsiTheme="minorHAnsi" w:cs="Arial"/>
          <w:color w:val="000000"/>
          <w:sz w:val="22"/>
          <w:szCs w:val="22"/>
        </w:rPr>
      </w:pPr>
    </w:p>
    <w:p w14:paraId="283B5063" w14:textId="77777777"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 xml:space="preserve">No assets are owned which are principally used in the provision of </w:t>
      </w:r>
      <w:proofErr w:type="gramStart"/>
      <w:r w:rsidRPr="00B40DF4">
        <w:rPr>
          <w:rFonts w:asciiTheme="minorHAnsi" w:hAnsiTheme="minorHAnsi" w:cs="Arial"/>
          <w:color w:val="000000"/>
          <w:sz w:val="22"/>
          <w:szCs w:val="22"/>
        </w:rPr>
        <w:t>third party</w:t>
      </w:r>
      <w:proofErr w:type="gramEnd"/>
      <w:r w:rsidRPr="00B40DF4">
        <w:rPr>
          <w:rFonts w:asciiTheme="minorHAnsi" w:hAnsiTheme="minorHAnsi" w:cs="Arial"/>
          <w:color w:val="000000"/>
          <w:sz w:val="22"/>
          <w:szCs w:val="22"/>
        </w:rPr>
        <w:t xml:space="preserve"> services so no deduction is required from current cost depreciation in respect of third party services.</w:t>
      </w:r>
    </w:p>
    <w:p w14:paraId="06879CD1" w14:textId="77777777" w:rsidR="007D1218" w:rsidRPr="0091297D" w:rsidRDefault="007D1218" w:rsidP="00627AA1">
      <w:pPr>
        <w:pStyle w:val="ListParagraph"/>
        <w:numPr>
          <w:ilvl w:val="1"/>
          <w:numId w:val="12"/>
        </w:numPr>
        <w:ind w:left="567" w:hanging="567"/>
        <w:rPr>
          <w:rFonts w:asciiTheme="minorHAnsi" w:hAnsiTheme="minorHAnsi" w:cs="Arial"/>
          <w:color w:val="000000"/>
          <w:sz w:val="22"/>
          <w:szCs w:val="22"/>
          <w:highlight w:val="yellow"/>
        </w:rPr>
      </w:pPr>
      <w:r w:rsidRPr="0091297D">
        <w:rPr>
          <w:rFonts w:asciiTheme="minorHAnsi" w:hAnsiTheme="minorHAnsi" w:cs="Arial"/>
          <w:color w:val="000000"/>
          <w:sz w:val="22"/>
          <w:szCs w:val="22"/>
          <w:highlight w:val="yellow"/>
        </w:rPr>
        <w:br w:type="page"/>
      </w:r>
    </w:p>
    <w:p w14:paraId="1B97AFE8" w14:textId="77777777" w:rsidR="007D1218" w:rsidRPr="00B40DF4" w:rsidRDefault="007D1218" w:rsidP="00DB4B44">
      <w:pPr>
        <w:pStyle w:val="Heading1"/>
      </w:pPr>
      <w:bookmarkStart w:id="37" w:name="_Toc172019354"/>
      <w:bookmarkEnd w:id="35"/>
      <w:bookmarkEnd w:id="36"/>
      <w:r w:rsidRPr="00B40DF4">
        <w:lastRenderedPageBreak/>
        <w:t>INFRASTRUCTURE RENEWALS CHARGE</w:t>
      </w:r>
      <w:bookmarkEnd w:id="37"/>
    </w:p>
    <w:p w14:paraId="254410AE" w14:textId="77777777" w:rsidR="007D1218" w:rsidRPr="00B40DF4" w:rsidRDefault="007D1218" w:rsidP="007D1218">
      <w:pPr>
        <w:rPr>
          <w:rFonts w:cs="Arial"/>
        </w:rPr>
      </w:pPr>
    </w:p>
    <w:p w14:paraId="3F409BEF" w14:textId="77777777" w:rsidR="007D1218" w:rsidRPr="00B40DF4" w:rsidRDefault="007D1218" w:rsidP="00627AA1">
      <w:pPr>
        <w:pStyle w:val="ListParagraph"/>
        <w:numPr>
          <w:ilvl w:val="0"/>
          <w:numId w:val="12"/>
        </w:numPr>
        <w:rPr>
          <w:rFonts w:asciiTheme="minorHAnsi" w:hAnsiTheme="minorHAnsi" w:cs="Arial"/>
          <w:vanish/>
          <w:color w:val="000000"/>
          <w:sz w:val="22"/>
          <w:szCs w:val="22"/>
        </w:rPr>
      </w:pPr>
    </w:p>
    <w:p w14:paraId="2CAAE68F" w14:textId="77777777"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The infrastructure renewals charge (IRC) is only allocated to business units with infrastructure fixed assets allocated to them i.e.</w:t>
      </w:r>
    </w:p>
    <w:p w14:paraId="335BC169" w14:textId="77777777" w:rsidR="007D1218" w:rsidRPr="00B40DF4" w:rsidRDefault="007D1218" w:rsidP="007D1218">
      <w:pPr>
        <w:tabs>
          <w:tab w:val="left" w:pos="720"/>
        </w:tabs>
        <w:overflowPunct w:val="0"/>
        <w:autoSpaceDE w:val="0"/>
        <w:autoSpaceDN w:val="0"/>
        <w:adjustRightInd w:val="0"/>
        <w:textAlignment w:val="baseline"/>
        <w:rPr>
          <w:rFonts w:cs="Arial"/>
          <w:lang w:eastAsia="en-GB"/>
        </w:rPr>
      </w:pPr>
    </w:p>
    <w:p w14:paraId="62179B3B" w14:textId="77777777" w:rsidR="007D1218" w:rsidRPr="00B40DF4" w:rsidRDefault="007D1218" w:rsidP="009C3ABF">
      <w:pPr>
        <w:pStyle w:val="ListParagraph"/>
        <w:numPr>
          <w:ilvl w:val="0"/>
          <w:numId w:val="3"/>
        </w:numPr>
        <w:tabs>
          <w:tab w:val="left" w:pos="720"/>
        </w:tabs>
        <w:overflowPunct w:val="0"/>
        <w:autoSpaceDE w:val="0"/>
        <w:autoSpaceDN w:val="0"/>
        <w:adjustRightInd w:val="0"/>
        <w:textAlignment w:val="baseline"/>
        <w:rPr>
          <w:rFonts w:asciiTheme="minorHAnsi" w:hAnsiTheme="minorHAnsi" w:cs="Arial"/>
          <w:sz w:val="22"/>
          <w:szCs w:val="22"/>
          <w:lang w:eastAsia="en-GB"/>
        </w:rPr>
      </w:pPr>
      <w:r w:rsidRPr="00B40DF4">
        <w:rPr>
          <w:rFonts w:asciiTheme="minorHAnsi" w:hAnsiTheme="minorHAnsi" w:cs="Arial"/>
          <w:sz w:val="22"/>
          <w:szCs w:val="22"/>
          <w:lang w:eastAsia="en-GB"/>
        </w:rPr>
        <w:t>Water resources</w:t>
      </w:r>
    </w:p>
    <w:p w14:paraId="3EAB0837" w14:textId="77777777" w:rsidR="007D1218" w:rsidRPr="00B40DF4" w:rsidRDefault="007D1218" w:rsidP="009C3ABF">
      <w:pPr>
        <w:pStyle w:val="ListParagraph"/>
        <w:numPr>
          <w:ilvl w:val="0"/>
          <w:numId w:val="3"/>
        </w:numPr>
        <w:tabs>
          <w:tab w:val="left" w:pos="720"/>
        </w:tabs>
        <w:overflowPunct w:val="0"/>
        <w:autoSpaceDE w:val="0"/>
        <w:autoSpaceDN w:val="0"/>
        <w:adjustRightInd w:val="0"/>
        <w:textAlignment w:val="baseline"/>
        <w:rPr>
          <w:rFonts w:asciiTheme="minorHAnsi" w:hAnsiTheme="minorHAnsi" w:cs="Arial"/>
          <w:sz w:val="22"/>
          <w:szCs w:val="22"/>
          <w:lang w:eastAsia="en-GB"/>
        </w:rPr>
      </w:pPr>
      <w:r w:rsidRPr="00B40DF4">
        <w:rPr>
          <w:rFonts w:asciiTheme="minorHAnsi" w:hAnsiTheme="minorHAnsi" w:cs="Arial"/>
          <w:sz w:val="22"/>
          <w:szCs w:val="22"/>
          <w:lang w:eastAsia="en-GB"/>
        </w:rPr>
        <w:t>Raw water distribution</w:t>
      </w:r>
    </w:p>
    <w:p w14:paraId="42670165" w14:textId="77777777" w:rsidR="007D1218" w:rsidRPr="00B40DF4" w:rsidRDefault="007D1218" w:rsidP="009C3ABF">
      <w:pPr>
        <w:pStyle w:val="ListParagraph"/>
        <w:numPr>
          <w:ilvl w:val="0"/>
          <w:numId w:val="3"/>
        </w:numPr>
        <w:tabs>
          <w:tab w:val="left" w:pos="720"/>
        </w:tabs>
        <w:overflowPunct w:val="0"/>
        <w:autoSpaceDE w:val="0"/>
        <w:autoSpaceDN w:val="0"/>
        <w:adjustRightInd w:val="0"/>
        <w:textAlignment w:val="baseline"/>
        <w:rPr>
          <w:rFonts w:asciiTheme="minorHAnsi" w:hAnsiTheme="minorHAnsi" w:cs="Arial"/>
          <w:sz w:val="22"/>
          <w:szCs w:val="22"/>
          <w:lang w:eastAsia="en-GB"/>
        </w:rPr>
      </w:pPr>
      <w:r w:rsidRPr="00B40DF4">
        <w:rPr>
          <w:rFonts w:asciiTheme="minorHAnsi" w:hAnsiTheme="minorHAnsi" w:cs="Arial"/>
          <w:sz w:val="22"/>
          <w:szCs w:val="22"/>
          <w:lang w:eastAsia="en-GB"/>
        </w:rPr>
        <w:t xml:space="preserve">Treated water </w:t>
      </w:r>
      <w:proofErr w:type="gramStart"/>
      <w:r w:rsidRPr="00B40DF4">
        <w:rPr>
          <w:rFonts w:asciiTheme="minorHAnsi" w:hAnsiTheme="minorHAnsi" w:cs="Arial"/>
          <w:sz w:val="22"/>
          <w:szCs w:val="22"/>
          <w:lang w:eastAsia="en-GB"/>
        </w:rPr>
        <w:t>distribution</w:t>
      </w:r>
      <w:proofErr w:type="gramEnd"/>
    </w:p>
    <w:p w14:paraId="04AD4A40" w14:textId="77777777" w:rsidR="007D1218" w:rsidRPr="00B40DF4" w:rsidRDefault="007D1218" w:rsidP="009C3ABF">
      <w:pPr>
        <w:pStyle w:val="ListParagraph"/>
        <w:numPr>
          <w:ilvl w:val="0"/>
          <w:numId w:val="3"/>
        </w:numPr>
        <w:tabs>
          <w:tab w:val="left" w:pos="720"/>
        </w:tabs>
        <w:overflowPunct w:val="0"/>
        <w:autoSpaceDE w:val="0"/>
        <w:autoSpaceDN w:val="0"/>
        <w:adjustRightInd w:val="0"/>
        <w:textAlignment w:val="baseline"/>
        <w:rPr>
          <w:rFonts w:asciiTheme="minorHAnsi" w:hAnsiTheme="minorHAnsi" w:cs="Arial"/>
          <w:sz w:val="22"/>
          <w:szCs w:val="22"/>
          <w:lang w:eastAsia="en-GB"/>
        </w:rPr>
      </w:pPr>
      <w:r w:rsidRPr="00B40DF4">
        <w:rPr>
          <w:rFonts w:asciiTheme="minorHAnsi" w:hAnsiTheme="minorHAnsi" w:cs="Arial"/>
          <w:sz w:val="22"/>
          <w:szCs w:val="22"/>
          <w:lang w:eastAsia="en-GB"/>
        </w:rPr>
        <w:t>Sewage collection</w:t>
      </w:r>
    </w:p>
    <w:p w14:paraId="07062277" w14:textId="77777777" w:rsidR="007D1218" w:rsidRPr="00B40DF4" w:rsidRDefault="007D1218" w:rsidP="009C3ABF">
      <w:pPr>
        <w:pStyle w:val="ListParagraph"/>
        <w:numPr>
          <w:ilvl w:val="0"/>
          <w:numId w:val="3"/>
        </w:numPr>
        <w:tabs>
          <w:tab w:val="left" w:pos="720"/>
        </w:tabs>
        <w:overflowPunct w:val="0"/>
        <w:autoSpaceDE w:val="0"/>
        <w:autoSpaceDN w:val="0"/>
        <w:adjustRightInd w:val="0"/>
        <w:textAlignment w:val="baseline"/>
        <w:rPr>
          <w:rFonts w:asciiTheme="minorHAnsi" w:hAnsiTheme="minorHAnsi" w:cs="Arial"/>
          <w:sz w:val="22"/>
          <w:szCs w:val="22"/>
          <w:lang w:eastAsia="en-GB"/>
        </w:rPr>
      </w:pPr>
      <w:r w:rsidRPr="00B40DF4">
        <w:rPr>
          <w:rFonts w:asciiTheme="minorHAnsi" w:hAnsiTheme="minorHAnsi" w:cs="Arial"/>
          <w:sz w:val="22"/>
          <w:szCs w:val="22"/>
          <w:lang w:eastAsia="en-GB"/>
        </w:rPr>
        <w:t xml:space="preserve">Sewage treatment (in relation to outfalls) </w:t>
      </w:r>
    </w:p>
    <w:p w14:paraId="1164DEF7" w14:textId="77777777" w:rsidR="007D1218" w:rsidRPr="00B40DF4" w:rsidRDefault="007D1218" w:rsidP="007D1218">
      <w:pPr>
        <w:tabs>
          <w:tab w:val="left" w:pos="720"/>
        </w:tabs>
        <w:overflowPunct w:val="0"/>
        <w:autoSpaceDE w:val="0"/>
        <w:autoSpaceDN w:val="0"/>
        <w:adjustRightInd w:val="0"/>
        <w:textAlignment w:val="baseline"/>
        <w:rPr>
          <w:rFonts w:cs="Arial"/>
          <w:lang w:eastAsia="en-GB"/>
        </w:rPr>
      </w:pPr>
    </w:p>
    <w:p w14:paraId="65CA51E4" w14:textId="77777777"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The IRC for treated water distribution and sewage collection is calculated by reference to the K5 asset management plan which looked at five years’ historical spend and ten years’ future projected spend. The difference between IRE (Infrastructure Renewals Expenditure) and IRC was treated as an accrual or prepayment but following the K6 changes to Regulatory Accounts requirements has been deducted from reserves.</w:t>
      </w:r>
    </w:p>
    <w:p w14:paraId="1DB47F75" w14:textId="77777777" w:rsidR="007D1218" w:rsidRPr="00B40DF4" w:rsidRDefault="007D1218" w:rsidP="007D1218">
      <w:pPr>
        <w:rPr>
          <w:rFonts w:cs="Arial"/>
          <w:color w:val="000000"/>
        </w:rPr>
      </w:pPr>
      <w:r w:rsidRPr="00B40DF4">
        <w:rPr>
          <w:rFonts w:cs="Arial"/>
          <w:color w:val="000000"/>
        </w:rPr>
        <w:t xml:space="preserve"> </w:t>
      </w:r>
    </w:p>
    <w:p w14:paraId="308A6700" w14:textId="77777777"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The infrastructure renewals charge automatically reflects current costs as the calculation is a prospective one which reflects current costs.</w:t>
      </w:r>
    </w:p>
    <w:p w14:paraId="489E2704" w14:textId="77777777" w:rsidR="007D1218" w:rsidRPr="00EA7194" w:rsidRDefault="007D1218" w:rsidP="007D1218">
      <w:pPr>
        <w:pStyle w:val="ListParagraph"/>
        <w:ind w:left="567"/>
        <w:rPr>
          <w:rFonts w:asciiTheme="minorHAnsi" w:hAnsiTheme="minorHAnsi" w:cs="Arial"/>
          <w:color w:val="000000"/>
          <w:sz w:val="22"/>
          <w:szCs w:val="22"/>
          <w:highlight w:val="cyan"/>
        </w:rPr>
      </w:pPr>
    </w:p>
    <w:p w14:paraId="764BB13F" w14:textId="77777777" w:rsidR="007D1218" w:rsidRPr="0091297D" w:rsidRDefault="007D1218" w:rsidP="007D1218">
      <w:pPr>
        <w:pStyle w:val="ListParagraph"/>
        <w:ind w:left="567"/>
        <w:rPr>
          <w:rFonts w:asciiTheme="minorHAnsi" w:hAnsiTheme="minorHAnsi" w:cs="Arial"/>
          <w:color w:val="000000"/>
          <w:sz w:val="22"/>
          <w:szCs w:val="22"/>
          <w:highlight w:val="yellow"/>
        </w:rPr>
      </w:pPr>
    </w:p>
    <w:p w14:paraId="50DBB433" w14:textId="77777777" w:rsidR="007D1218" w:rsidRPr="0091297D" w:rsidRDefault="007D1218" w:rsidP="007D1218">
      <w:pPr>
        <w:rPr>
          <w:b/>
          <w:highlight w:val="yellow"/>
        </w:rPr>
      </w:pPr>
      <w:bookmarkStart w:id="38" w:name="_Toc389044485"/>
      <w:r w:rsidRPr="0091297D">
        <w:rPr>
          <w:b/>
          <w:highlight w:val="yellow"/>
        </w:rPr>
        <w:br w:type="page"/>
      </w:r>
    </w:p>
    <w:p w14:paraId="179CDB2D" w14:textId="77777777" w:rsidR="007D1218" w:rsidRPr="00B40DF4" w:rsidRDefault="007D1218" w:rsidP="00DB4B44">
      <w:pPr>
        <w:pStyle w:val="Heading1"/>
      </w:pPr>
      <w:bookmarkStart w:id="39" w:name="_Toc172019355"/>
      <w:bookmarkEnd w:id="38"/>
      <w:r w:rsidRPr="00B40DF4">
        <w:lastRenderedPageBreak/>
        <w:t>RECHARGES BETWEEN BUSINESS UNITS</w:t>
      </w:r>
      <w:bookmarkEnd w:id="39"/>
    </w:p>
    <w:p w14:paraId="77910E3C" w14:textId="77777777" w:rsidR="007D1218" w:rsidRPr="00781FF5" w:rsidRDefault="007D1218" w:rsidP="007D1218">
      <w:pPr>
        <w:rPr>
          <w:rFonts w:cs="Arial"/>
          <w:color w:val="000000"/>
          <w:highlight w:val="cyan"/>
        </w:rPr>
      </w:pPr>
    </w:p>
    <w:p w14:paraId="12DBF92E" w14:textId="77777777" w:rsidR="007D1218" w:rsidRPr="00781FF5" w:rsidRDefault="007D1218" w:rsidP="00627AA1">
      <w:pPr>
        <w:pStyle w:val="ListParagraph"/>
        <w:numPr>
          <w:ilvl w:val="0"/>
          <w:numId w:val="12"/>
        </w:numPr>
        <w:rPr>
          <w:rFonts w:asciiTheme="minorHAnsi" w:hAnsiTheme="minorHAnsi" w:cs="Arial"/>
          <w:vanish/>
          <w:color w:val="000000"/>
          <w:sz w:val="22"/>
          <w:szCs w:val="22"/>
          <w:highlight w:val="cyan"/>
        </w:rPr>
      </w:pPr>
    </w:p>
    <w:p w14:paraId="1BF3040C" w14:textId="569E0DB8"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Where possible assets have been allocated directly to the business unit to which they relate.  Assets which are utilised by more than one business unit have been allocated on the following basis:</w:t>
      </w:r>
    </w:p>
    <w:p w14:paraId="54EF0BE3" w14:textId="77777777" w:rsidR="007D1218" w:rsidRPr="00B40DF4" w:rsidRDefault="007D1218" w:rsidP="007D1218">
      <w:pPr>
        <w:pStyle w:val="ListParagraph"/>
        <w:ind w:left="567"/>
        <w:rPr>
          <w:rFonts w:asciiTheme="minorHAnsi" w:hAnsiTheme="minorHAnsi" w:cs="Arial"/>
          <w:color w:val="000000"/>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4871"/>
      </w:tblGrid>
      <w:tr w:rsidR="007D1218" w:rsidRPr="00B40DF4" w14:paraId="5169C004" w14:textId="77777777" w:rsidTr="008B45DA">
        <w:trPr>
          <w:trHeight w:val="369"/>
        </w:trPr>
        <w:tc>
          <w:tcPr>
            <w:tcW w:w="3458" w:type="dxa"/>
            <w:shd w:val="clear" w:color="auto" w:fill="D5DCE4" w:themeFill="text2" w:themeFillTint="33"/>
            <w:vAlign w:val="center"/>
          </w:tcPr>
          <w:p w14:paraId="71A7E0E6" w14:textId="77777777" w:rsidR="007D1218" w:rsidRPr="00B40DF4" w:rsidRDefault="007D1218" w:rsidP="008B45DA">
            <w:pPr>
              <w:rPr>
                <w:rFonts w:cs="Arial"/>
                <w:b/>
              </w:rPr>
            </w:pPr>
            <w:r w:rsidRPr="00B40DF4">
              <w:rPr>
                <w:rFonts w:cs="Arial"/>
                <w:b/>
              </w:rPr>
              <w:t>Asset</w:t>
            </w:r>
          </w:p>
        </w:tc>
        <w:tc>
          <w:tcPr>
            <w:tcW w:w="4871" w:type="dxa"/>
            <w:shd w:val="clear" w:color="auto" w:fill="D5DCE4" w:themeFill="text2" w:themeFillTint="33"/>
            <w:vAlign w:val="center"/>
          </w:tcPr>
          <w:p w14:paraId="506BC4CD" w14:textId="77777777" w:rsidR="007D1218" w:rsidRPr="00B40DF4" w:rsidRDefault="007D1218" w:rsidP="008B45DA">
            <w:pPr>
              <w:rPr>
                <w:rFonts w:cs="Arial"/>
                <w:b/>
              </w:rPr>
            </w:pPr>
            <w:r w:rsidRPr="00B40DF4">
              <w:rPr>
                <w:rFonts w:cs="Arial"/>
                <w:b/>
              </w:rPr>
              <w:t>Allocation</w:t>
            </w:r>
          </w:p>
        </w:tc>
      </w:tr>
      <w:tr w:rsidR="007D1218" w:rsidRPr="00B40DF4" w14:paraId="2F124A22" w14:textId="77777777" w:rsidTr="008B45DA">
        <w:trPr>
          <w:trHeight w:val="653"/>
        </w:trPr>
        <w:tc>
          <w:tcPr>
            <w:tcW w:w="3458" w:type="dxa"/>
          </w:tcPr>
          <w:p w14:paraId="60F84799" w14:textId="77777777" w:rsidR="007D1218" w:rsidRPr="00B40DF4" w:rsidRDefault="007D1218" w:rsidP="008B45DA">
            <w:pPr>
              <w:spacing w:before="120"/>
              <w:rPr>
                <w:rFonts w:cs="Arial"/>
              </w:rPr>
            </w:pPr>
            <w:r w:rsidRPr="00B40DF4">
              <w:rPr>
                <w:rFonts w:cs="Arial"/>
              </w:rPr>
              <w:t>Direct assets utilised by one business unit</w:t>
            </w:r>
          </w:p>
        </w:tc>
        <w:tc>
          <w:tcPr>
            <w:tcW w:w="4871" w:type="dxa"/>
          </w:tcPr>
          <w:p w14:paraId="2FDF92DF" w14:textId="77777777" w:rsidR="007D1218" w:rsidRPr="00B40DF4" w:rsidRDefault="007D1218" w:rsidP="008B45DA">
            <w:pPr>
              <w:spacing w:before="120"/>
              <w:rPr>
                <w:rFonts w:cs="Arial"/>
              </w:rPr>
            </w:pPr>
            <w:r w:rsidRPr="00B40DF4">
              <w:rPr>
                <w:rFonts w:cs="Arial"/>
              </w:rPr>
              <w:t>Asset recorded in business unit</w:t>
            </w:r>
          </w:p>
        </w:tc>
      </w:tr>
      <w:tr w:rsidR="007D1218" w:rsidRPr="00B40DF4" w14:paraId="7509593B" w14:textId="77777777" w:rsidTr="008B45DA">
        <w:trPr>
          <w:trHeight w:val="705"/>
        </w:trPr>
        <w:tc>
          <w:tcPr>
            <w:tcW w:w="3458" w:type="dxa"/>
          </w:tcPr>
          <w:p w14:paraId="6BB2BB03" w14:textId="77777777" w:rsidR="007D1218" w:rsidRPr="00B40DF4" w:rsidRDefault="007D1218" w:rsidP="008B45DA">
            <w:pPr>
              <w:spacing w:before="120"/>
              <w:rPr>
                <w:rFonts w:cs="Arial"/>
              </w:rPr>
            </w:pPr>
            <w:r w:rsidRPr="00B40DF4">
              <w:rPr>
                <w:rFonts w:cs="Arial"/>
              </w:rPr>
              <w:t>Direct assets used by more than one wholesale business unit</w:t>
            </w:r>
          </w:p>
        </w:tc>
        <w:tc>
          <w:tcPr>
            <w:tcW w:w="4871" w:type="dxa"/>
          </w:tcPr>
          <w:p w14:paraId="42BD58ED" w14:textId="77777777" w:rsidR="007D1218" w:rsidRPr="00B40DF4" w:rsidRDefault="007D1218" w:rsidP="008B45DA">
            <w:pPr>
              <w:spacing w:before="120"/>
              <w:rPr>
                <w:rFonts w:cs="Arial"/>
              </w:rPr>
            </w:pPr>
            <w:r w:rsidRPr="00B40DF4">
              <w:rPr>
                <w:rFonts w:cs="Arial"/>
              </w:rPr>
              <w:t>Asset is allocated between the wholesale business units that used the asset based on usage</w:t>
            </w:r>
          </w:p>
        </w:tc>
      </w:tr>
      <w:tr w:rsidR="007D1218" w:rsidRPr="00B40DF4" w14:paraId="1072F1F5" w14:textId="77777777" w:rsidTr="008B45DA">
        <w:trPr>
          <w:trHeight w:val="997"/>
        </w:trPr>
        <w:tc>
          <w:tcPr>
            <w:tcW w:w="3458" w:type="dxa"/>
          </w:tcPr>
          <w:p w14:paraId="02B1242C" w14:textId="77777777" w:rsidR="007D1218" w:rsidRPr="00B40DF4" w:rsidRDefault="007D1218" w:rsidP="008B45DA">
            <w:pPr>
              <w:spacing w:before="120"/>
              <w:rPr>
                <w:rFonts w:cs="Arial"/>
              </w:rPr>
            </w:pPr>
            <w:r w:rsidRPr="00B40DF4">
              <w:rPr>
                <w:rFonts w:cs="Arial"/>
              </w:rPr>
              <w:t>Direct assets used by both wholesale and retail business units</w:t>
            </w:r>
          </w:p>
        </w:tc>
        <w:tc>
          <w:tcPr>
            <w:tcW w:w="4871" w:type="dxa"/>
          </w:tcPr>
          <w:p w14:paraId="60C569A6" w14:textId="77777777" w:rsidR="007D1218" w:rsidRPr="00B40DF4" w:rsidRDefault="007D1218" w:rsidP="008B45DA">
            <w:pPr>
              <w:spacing w:before="120"/>
              <w:rPr>
                <w:rFonts w:cs="Arial"/>
              </w:rPr>
            </w:pPr>
            <w:r w:rsidRPr="00B40DF4">
              <w:rPr>
                <w:rFonts w:cs="Arial"/>
              </w:rPr>
              <w:t>Asset is allocated between the wholesale business units that used the asset based on usage with a recharge to the relevant retail business units</w:t>
            </w:r>
          </w:p>
        </w:tc>
      </w:tr>
      <w:tr w:rsidR="007D1218" w:rsidRPr="00B40DF4" w14:paraId="08831EA8" w14:textId="77777777" w:rsidTr="008B45DA">
        <w:trPr>
          <w:trHeight w:val="1631"/>
        </w:trPr>
        <w:tc>
          <w:tcPr>
            <w:tcW w:w="3458" w:type="dxa"/>
          </w:tcPr>
          <w:p w14:paraId="24B8F6A8" w14:textId="77777777" w:rsidR="007D1218" w:rsidRPr="00B40DF4" w:rsidRDefault="007D1218" w:rsidP="008B45DA">
            <w:pPr>
              <w:spacing w:before="120"/>
              <w:rPr>
                <w:rFonts w:cs="Arial"/>
              </w:rPr>
            </w:pPr>
            <w:r w:rsidRPr="00B40DF4">
              <w:rPr>
                <w:rFonts w:cs="Arial"/>
              </w:rPr>
              <w:t>General and support assets where part of the asset can be directly identified as being a principally retail (or wholesale) asset</w:t>
            </w:r>
          </w:p>
        </w:tc>
        <w:tc>
          <w:tcPr>
            <w:tcW w:w="4871" w:type="dxa"/>
          </w:tcPr>
          <w:p w14:paraId="66DB5CC7" w14:textId="77777777" w:rsidR="007D1218" w:rsidRPr="00B40DF4" w:rsidRDefault="007D1218" w:rsidP="008B45DA">
            <w:pPr>
              <w:spacing w:before="120"/>
              <w:rPr>
                <w:rFonts w:cs="Arial"/>
              </w:rPr>
            </w:pPr>
            <w:r w:rsidRPr="00B40DF4">
              <w:rPr>
                <w:rFonts w:cs="Arial"/>
              </w:rPr>
              <w:t>The relevant assets are allocated to the relevant business units.  Recharges have not been necessary for these assets which include retail IS software.</w:t>
            </w:r>
          </w:p>
        </w:tc>
      </w:tr>
      <w:tr w:rsidR="007D1218" w:rsidRPr="00B40DF4" w14:paraId="068C85E9" w14:textId="77777777" w:rsidTr="008B45DA">
        <w:trPr>
          <w:trHeight w:val="860"/>
        </w:trPr>
        <w:tc>
          <w:tcPr>
            <w:tcW w:w="3458" w:type="dxa"/>
          </w:tcPr>
          <w:p w14:paraId="293BB6C6" w14:textId="77777777" w:rsidR="007D1218" w:rsidRPr="00B40DF4" w:rsidRDefault="007D1218" w:rsidP="008B45DA">
            <w:pPr>
              <w:spacing w:before="120"/>
              <w:rPr>
                <w:rFonts w:cs="Arial"/>
              </w:rPr>
            </w:pPr>
            <w:r w:rsidRPr="00B40DF4">
              <w:rPr>
                <w:rFonts w:cs="Arial"/>
              </w:rPr>
              <w:t>General and support assets</w:t>
            </w:r>
          </w:p>
        </w:tc>
        <w:tc>
          <w:tcPr>
            <w:tcW w:w="4871" w:type="dxa"/>
          </w:tcPr>
          <w:p w14:paraId="72DF960E" w14:textId="77777777" w:rsidR="007D1218" w:rsidRPr="00B40DF4" w:rsidRDefault="007D1218" w:rsidP="008B45DA">
            <w:pPr>
              <w:spacing w:before="120"/>
              <w:rPr>
                <w:rFonts w:cs="Arial"/>
              </w:rPr>
            </w:pPr>
            <w:r w:rsidRPr="00B40DF4">
              <w:rPr>
                <w:rFonts w:cs="Arial"/>
              </w:rPr>
              <w:t>All the relevant assets are principally used in the wholesale business and have been allocated to relevant wholesale business units with a recharge of depreciation to retail and non-appointed business units.</w:t>
            </w:r>
          </w:p>
        </w:tc>
      </w:tr>
    </w:tbl>
    <w:p w14:paraId="57F9E1A2" w14:textId="77777777" w:rsidR="007D1218" w:rsidRPr="00B40DF4" w:rsidRDefault="007D1218" w:rsidP="007D1218">
      <w:pPr>
        <w:rPr>
          <w:rFonts w:cs="Arial"/>
          <w:color w:val="000000"/>
        </w:rPr>
      </w:pPr>
    </w:p>
    <w:p w14:paraId="2851E137" w14:textId="5E1C55E8" w:rsidR="007D1218" w:rsidRPr="00B40DF4" w:rsidRDefault="007D1218" w:rsidP="00627AA1">
      <w:pPr>
        <w:pStyle w:val="ListParagraph"/>
        <w:numPr>
          <w:ilvl w:val="1"/>
          <w:numId w:val="12"/>
        </w:numPr>
        <w:ind w:left="567" w:hanging="567"/>
        <w:rPr>
          <w:rFonts w:asciiTheme="minorHAnsi" w:hAnsiTheme="minorHAnsi" w:cs="Arial"/>
          <w:color w:val="000000"/>
          <w:sz w:val="22"/>
          <w:szCs w:val="22"/>
        </w:rPr>
      </w:pPr>
      <w:r w:rsidRPr="00B40DF4">
        <w:rPr>
          <w:rFonts w:asciiTheme="minorHAnsi" w:hAnsiTheme="minorHAnsi" w:cs="Arial"/>
          <w:color w:val="000000"/>
          <w:sz w:val="22"/>
          <w:szCs w:val="22"/>
        </w:rPr>
        <w:t xml:space="preserve">For the year ended 31 March </w:t>
      </w:r>
      <w:r>
        <w:rPr>
          <w:rFonts w:asciiTheme="minorHAnsi" w:hAnsiTheme="minorHAnsi" w:cs="Arial"/>
          <w:color w:val="000000"/>
          <w:sz w:val="22"/>
          <w:szCs w:val="22"/>
        </w:rPr>
        <w:t>202</w:t>
      </w:r>
      <w:r w:rsidR="0039575B">
        <w:rPr>
          <w:rFonts w:asciiTheme="minorHAnsi" w:hAnsiTheme="minorHAnsi" w:cs="Arial"/>
          <w:color w:val="000000"/>
          <w:sz w:val="22"/>
          <w:szCs w:val="22"/>
        </w:rPr>
        <w:t>3</w:t>
      </w:r>
      <w:r>
        <w:rPr>
          <w:rFonts w:asciiTheme="minorHAnsi" w:hAnsiTheme="minorHAnsi" w:cs="Arial"/>
          <w:color w:val="000000"/>
          <w:sz w:val="22"/>
          <w:szCs w:val="22"/>
        </w:rPr>
        <w:t xml:space="preserve"> </w:t>
      </w:r>
      <w:r w:rsidRPr="00B40DF4">
        <w:rPr>
          <w:rFonts w:asciiTheme="minorHAnsi" w:hAnsiTheme="minorHAnsi" w:cs="Arial"/>
          <w:color w:val="000000"/>
          <w:sz w:val="22"/>
          <w:szCs w:val="22"/>
        </w:rPr>
        <w:t>all assets in respect of which part of the depreciation has been recharged have been reported as wholesale assets in accordance with the OFWAT guidance.  The recharges, calculated on the historical cost basis, are reported at the bottom of Table 2A.</w:t>
      </w:r>
    </w:p>
    <w:p w14:paraId="6839BAE4" w14:textId="77777777" w:rsidR="007D1218" w:rsidRPr="00781FF5" w:rsidRDefault="007D1218" w:rsidP="007D1218">
      <w:pPr>
        <w:pStyle w:val="ListParagraph"/>
        <w:ind w:left="360"/>
        <w:rPr>
          <w:rFonts w:asciiTheme="minorHAnsi" w:hAnsiTheme="minorHAnsi" w:cs="Arial"/>
          <w:color w:val="000000"/>
          <w:sz w:val="22"/>
          <w:szCs w:val="22"/>
          <w:highlight w:val="cyan"/>
        </w:rPr>
      </w:pPr>
    </w:p>
    <w:p w14:paraId="09C3BAB6" w14:textId="77777777" w:rsidR="007D1218" w:rsidRPr="00781FF5" w:rsidRDefault="007D1218" w:rsidP="007D1218">
      <w:pPr>
        <w:pStyle w:val="ListParagraph"/>
        <w:ind w:left="360"/>
        <w:rPr>
          <w:rFonts w:asciiTheme="minorHAnsi" w:hAnsiTheme="minorHAnsi" w:cs="Arial"/>
          <w:color w:val="000000"/>
          <w:sz w:val="22"/>
          <w:szCs w:val="22"/>
          <w:highlight w:val="cyan"/>
        </w:rPr>
      </w:pPr>
    </w:p>
    <w:p w14:paraId="34DE9197" w14:textId="77777777" w:rsidR="007D1218" w:rsidRPr="00781FF5" w:rsidRDefault="007D1218" w:rsidP="007D1218">
      <w:pPr>
        <w:pStyle w:val="ListParagraph"/>
        <w:ind w:left="360"/>
        <w:rPr>
          <w:rFonts w:asciiTheme="minorHAnsi" w:hAnsiTheme="minorHAnsi" w:cs="Arial"/>
          <w:color w:val="000000"/>
          <w:sz w:val="22"/>
          <w:szCs w:val="22"/>
          <w:highlight w:val="cyan"/>
        </w:rPr>
      </w:pPr>
    </w:p>
    <w:p w14:paraId="59840D8B" w14:textId="77777777" w:rsidR="007D1218" w:rsidRPr="00781FF5" w:rsidRDefault="007D1218" w:rsidP="007D1218">
      <w:pPr>
        <w:pStyle w:val="ListParagraph"/>
        <w:ind w:left="360"/>
        <w:rPr>
          <w:rFonts w:asciiTheme="minorHAnsi" w:hAnsiTheme="minorHAnsi" w:cs="Arial"/>
          <w:color w:val="000000"/>
          <w:sz w:val="22"/>
          <w:szCs w:val="22"/>
          <w:highlight w:val="cyan"/>
        </w:rPr>
      </w:pPr>
    </w:p>
    <w:p w14:paraId="3A087679" w14:textId="77777777" w:rsidR="007D1218" w:rsidRPr="00781FF5" w:rsidRDefault="007D1218" w:rsidP="007D1218">
      <w:pPr>
        <w:pStyle w:val="ListParagraph"/>
        <w:ind w:left="360"/>
        <w:rPr>
          <w:rFonts w:asciiTheme="minorHAnsi" w:hAnsiTheme="minorHAnsi" w:cs="Arial"/>
          <w:color w:val="000000"/>
          <w:sz w:val="22"/>
          <w:szCs w:val="22"/>
          <w:highlight w:val="cyan"/>
        </w:rPr>
      </w:pPr>
    </w:p>
    <w:p w14:paraId="71B5C5CA" w14:textId="77777777" w:rsidR="007D1218" w:rsidRPr="00781FF5" w:rsidRDefault="007D1218" w:rsidP="007D1218">
      <w:pPr>
        <w:pStyle w:val="ListParagraph"/>
        <w:ind w:left="360"/>
        <w:rPr>
          <w:rFonts w:asciiTheme="minorHAnsi" w:hAnsiTheme="minorHAnsi" w:cs="Arial"/>
          <w:color w:val="000000"/>
          <w:sz w:val="22"/>
          <w:szCs w:val="22"/>
          <w:highlight w:val="cyan"/>
        </w:rPr>
      </w:pPr>
    </w:p>
    <w:p w14:paraId="6571BB4F" w14:textId="77777777" w:rsidR="007D1218" w:rsidRPr="00781FF5" w:rsidRDefault="007D1218" w:rsidP="007D1218">
      <w:pPr>
        <w:rPr>
          <w:rFonts w:cs="Arial"/>
          <w:color w:val="000000"/>
          <w:highlight w:val="cyan"/>
        </w:rPr>
      </w:pPr>
    </w:p>
    <w:p w14:paraId="572BB950" w14:textId="77777777" w:rsidR="007D1218" w:rsidRPr="00781FF5" w:rsidRDefault="007D1218" w:rsidP="007D1218">
      <w:pPr>
        <w:rPr>
          <w:b/>
          <w:highlight w:val="cyan"/>
        </w:rPr>
      </w:pPr>
      <w:bookmarkStart w:id="40" w:name="_Toc389044486"/>
      <w:r w:rsidRPr="00781FF5">
        <w:rPr>
          <w:highlight w:val="cyan"/>
        </w:rPr>
        <w:br w:type="page"/>
      </w:r>
    </w:p>
    <w:p w14:paraId="43711651" w14:textId="77777777" w:rsidR="007D1218" w:rsidRDefault="007D1218" w:rsidP="00DB4B44">
      <w:pPr>
        <w:pStyle w:val="Heading1"/>
      </w:pPr>
      <w:bookmarkStart w:id="41" w:name="_Toc356995382"/>
      <w:bookmarkStart w:id="42" w:name="_Toc389044487"/>
      <w:bookmarkStart w:id="43" w:name="_Toc172019356"/>
      <w:bookmarkEnd w:id="40"/>
      <w:r w:rsidRPr="00B40DF4">
        <w:lastRenderedPageBreak/>
        <w:t>HISTORICAL COST ANALYSIS OF FIXED ASSETS – WHOLESALE &amp; RETAIL</w:t>
      </w:r>
      <w:bookmarkEnd w:id="43"/>
    </w:p>
    <w:p w14:paraId="3BFA3B77" w14:textId="77777777" w:rsidR="00DB4B44" w:rsidRPr="00DB4B44" w:rsidRDefault="00DB4B44" w:rsidP="00DB4B44"/>
    <w:p w14:paraId="6471FC9D" w14:textId="77777777" w:rsidR="007D1218" w:rsidRPr="00B40DF4" w:rsidRDefault="007D1218" w:rsidP="009C3ABF">
      <w:pPr>
        <w:pStyle w:val="ListParagraph"/>
        <w:numPr>
          <w:ilvl w:val="1"/>
          <w:numId w:val="8"/>
        </w:numPr>
        <w:ind w:left="709" w:hanging="709"/>
        <w:rPr>
          <w:rFonts w:asciiTheme="minorHAnsi" w:hAnsiTheme="minorHAnsi"/>
          <w:vanish/>
        </w:rPr>
      </w:pPr>
      <w:r w:rsidRPr="00B40DF4">
        <w:rPr>
          <w:rFonts w:asciiTheme="minorHAnsi" w:hAnsiTheme="minorHAnsi"/>
          <w:sz w:val="22"/>
          <w:szCs w:val="22"/>
        </w:rPr>
        <w:t>The historical cost values of fixed assets are based on the UK GAAP fixed assets register which holds a business unit code for each asset</w:t>
      </w:r>
      <w:r>
        <w:rPr>
          <w:rFonts w:asciiTheme="minorHAnsi" w:hAnsiTheme="minorHAnsi"/>
          <w:sz w:val="22"/>
          <w:szCs w:val="22"/>
        </w:rPr>
        <w:t xml:space="preserve"> in the subjective analysis code field</w:t>
      </w:r>
      <w:r w:rsidRPr="00B40DF4">
        <w:rPr>
          <w:rFonts w:asciiTheme="minorHAnsi" w:hAnsiTheme="minorHAnsi"/>
          <w:sz w:val="22"/>
          <w:szCs w:val="22"/>
        </w:rPr>
        <w:t>.  The business unit codes were established when accounting separation was introduced.  There are eight business unit codes relating to wholesale business units and additional codes for retail, non-appointed and management and general assets.</w:t>
      </w:r>
    </w:p>
    <w:p w14:paraId="03F4EF0D" w14:textId="77777777" w:rsidR="007D1218" w:rsidRPr="00B40DF4" w:rsidRDefault="007D1218" w:rsidP="007D1218">
      <w:pPr>
        <w:pStyle w:val="ListParagraph"/>
        <w:ind w:left="709"/>
        <w:rPr>
          <w:rFonts w:asciiTheme="minorHAnsi" w:hAnsiTheme="minorHAnsi" w:cs="Arial"/>
          <w:color w:val="000000"/>
          <w:sz w:val="22"/>
          <w:szCs w:val="22"/>
        </w:rPr>
      </w:pPr>
    </w:p>
    <w:p w14:paraId="66837B4B" w14:textId="77777777" w:rsidR="007D1218" w:rsidRPr="00B40DF4" w:rsidRDefault="007D1218" w:rsidP="007D1218">
      <w:pPr>
        <w:pStyle w:val="ListParagraph"/>
        <w:ind w:left="709"/>
        <w:rPr>
          <w:rFonts w:asciiTheme="minorHAnsi" w:hAnsiTheme="minorHAnsi" w:cs="Arial"/>
          <w:color w:val="000000"/>
          <w:sz w:val="22"/>
          <w:szCs w:val="22"/>
        </w:rPr>
      </w:pPr>
    </w:p>
    <w:p w14:paraId="5D1DE794" w14:textId="77777777" w:rsidR="007D1218" w:rsidRPr="00B40DF4" w:rsidRDefault="007D1218" w:rsidP="009C3ABF">
      <w:pPr>
        <w:pStyle w:val="ListParagraph"/>
        <w:numPr>
          <w:ilvl w:val="1"/>
          <w:numId w:val="8"/>
        </w:numPr>
        <w:ind w:left="709" w:hanging="709"/>
        <w:rPr>
          <w:rFonts w:asciiTheme="minorHAnsi" w:hAnsiTheme="minorHAnsi" w:cs="Arial"/>
          <w:color w:val="000000"/>
          <w:sz w:val="22"/>
          <w:szCs w:val="22"/>
        </w:rPr>
      </w:pPr>
      <w:r w:rsidRPr="00B40DF4">
        <w:rPr>
          <w:rFonts w:asciiTheme="minorHAnsi" w:hAnsiTheme="minorHAnsi"/>
          <w:sz w:val="22"/>
          <w:szCs w:val="22"/>
        </w:rPr>
        <w:t>Non-infrastructure grants which were previously reported as deferred income have been deducted from the fixed assets values in accordance with the requirements of IFRS.  Both non-infrastructure and infrastructure grants, which are</w:t>
      </w:r>
      <w:r>
        <w:rPr>
          <w:rFonts w:asciiTheme="minorHAnsi" w:hAnsiTheme="minorHAnsi"/>
          <w:sz w:val="22"/>
          <w:szCs w:val="22"/>
        </w:rPr>
        <w:t xml:space="preserve"> also deducted from fixed asset</w:t>
      </w:r>
      <w:r w:rsidRPr="00B40DF4">
        <w:rPr>
          <w:rFonts w:asciiTheme="minorHAnsi" w:hAnsiTheme="minorHAnsi"/>
          <w:sz w:val="22"/>
          <w:szCs w:val="22"/>
        </w:rPr>
        <w:t xml:space="preserve"> values, </w:t>
      </w:r>
      <w:r>
        <w:rPr>
          <w:rFonts w:asciiTheme="minorHAnsi" w:hAnsiTheme="minorHAnsi"/>
          <w:sz w:val="22"/>
          <w:szCs w:val="22"/>
        </w:rPr>
        <w:t>are included in the fixed asset</w:t>
      </w:r>
      <w:r w:rsidRPr="00B40DF4">
        <w:rPr>
          <w:rFonts w:asciiTheme="minorHAnsi" w:hAnsiTheme="minorHAnsi"/>
          <w:sz w:val="22"/>
          <w:szCs w:val="22"/>
        </w:rPr>
        <w:t xml:space="preserve"> registers.</w:t>
      </w:r>
    </w:p>
    <w:p w14:paraId="5F49F1DB" w14:textId="77777777" w:rsidR="007D1218" w:rsidRPr="00B40DF4" w:rsidRDefault="007D1218" w:rsidP="007D1218">
      <w:pPr>
        <w:pStyle w:val="ListParagraph"/>
        <w:rPr>
          <w:rFonts w:asciiTheme="minorHAnsi" w:hAnsiTheme="minorHAnsi" w:cs="Arial"/>
          <w:color w:val="000000"/>
          <w:sz w:val="22"/>
          <w:szCs w:val="22"/>
        </w:rPr>
      </w:pPr>
    </w:p>
    <w:p w14:paraId="32D03746" w14:textId="77777777" w:rsidR="007D1218" w:rsidRPr="00B40DF4" w:rsidRDefault="007D1218" w:rsidP="009C3ABF">
      <w:pPr>
        <w:pStyle w:val="ListParagraph"/>
        <w:numPr>
          <w:ilvl w:val="1"/>
          <w:numId w:val="8"/>
        </w:numPr>
        <w:ind w:left="709" w:hanging="709"/>
        <w:rPr>
          <w:rFonts w:asciiTheme="minorHAnsi" w:hAnsiTheme="minorHAnsi" w:cs="Arial"/>
          <w:color w:val="000000"/>
          <w:sz w:val="22"/>
          <w:szCs w:val="22"/>
        </w:rPr>
      </w:pPr>
      <w:r w:rsidRPr="00B40DF4">
        <w:rPr>
          <w:rFonts w:asciiTheme="minorHAnsi" w:hAnsiTheme="minorHAnsi"/>
          <w:sz w:val="22"/>
          <w:szCs w:val="22"/>
        </w:rPr>
        <w:t>There is a separate register for infrastructure assets though cost values for these assets are also listed in the UK GAAP register.  The values for infrastructure assets have been obtained from the infrastructure assets register.</w:t>
      </w:r>
    </w:p>
    <w:p w14:paraId="78E554AA" w14:textId="77777777" w:rsidR="007D1218" w:rsidRPr="00B40DF4" w:rsidRDefault="007D1218" w:rsidP="007D1218">
      <w:pPr>
        <w:pStyle w:val="ListParagraph"/>
        <w:rPr>
          <w:rFonts w:asciiTheme="minorHAnsi" w:hAnsiTheme="minorHAnsi" w:cs="Arial"/>
          <w:color w:val="000000"/>
          <w:sz w:val="22"/>
          <w:szCs w:val="22"/>
        </w:rPr>
      </w:pPr>
    </w:p>
    <w:p w14:paraId="10EDEE9A" w14:textId="77777777" w:rsidR="007D1218" w:rsidRPr="00B40DF4" w:rsidRDefault="007D1218" w:rsidP="009C3ABF">
      <w:pPr>
        <w:pStyle w:val="ListParagraph"/>
        <w:numPr>
          <w:ilvl w:val="1"/>
          <w:numId w:val="8"/>
        </w:numPr>
        <w:ind w:left="709" w:hanging="709"/>
        <w:rPr>
          <w:rFonts w:asciiTheme="minorHAnsi" w:hAnsiTheme="minorHAnsi" w:cs="Arial"/>
          <w:color w:val="000000"/>
          <w:sz w:val="22"/>
          <w:szCs w:val="22"/>
        </w:rPr>
      </w:pPr>
      <w:r w:rsidRPr="00B40DF4">
        <w:rPr>
          <w:rFonts w:asciiTheme="minorHAnsi" w:hAnsiTheme="minorHAnsi"/>
          <w:sz w:val="22"/>
          <w:szCs w:val="22"/>
        </w:rPr>
        <w:t>No infrastructure assets have been allocated to the retail segments.</w:t>
      </w:r>
    </w:p>
    <w:p w14:paraId="12E752B4" w14:textId="77777777" w:rsidR="007D1218" w:rsidRPr="00B40DF4" w:rsidRDefault="007D1218" w:rsidP="007D1218">
      <w:pPr>
        <w:rPr>
          <w:rFonts w:cs="Arial"/>
          <w:color w:val="000000"/>
        </w:rPr>
      </w:pPr>
    </w:p>
    <w:p w14:paraId="4F5C852D" w14:textId="77777777" w:rsidR="007D1218" w:rsidRPr="00B40DF4" w:rsidRDefault="007D1218" w:rsidP="009C3ABF">
      <w:pPr>
        <w:pStyle w:val="ListParagraph"/>
        <w:numPr>
          <w:ilvl w:val="1"/>
          <w:numId w:val="8"/>
        </w:numPr>
        <w:ind w:left="709" w:hanging="709"/>
        <w:rPr>
          <w:rFonts w:asciiTheme="minorHAnsi" w:hAnsiTheme="minorHAnsi" w:cs="Arial"/>
          <w:color w:val="000000"/>
          <w:sz w:val="22"/>
          <w:szCs w:val="22"/>
        </w:rPr>
      </w:pPr>
      <w:r w:rsidRPr="00B40DF4">
        <w:rPr>
          <w:rFonts w:asciiTheme="minorHAnsi" w:hAnsiTheme="minorHAnsi"/>
          <w:sz w:val="22"/>
          <w:szCs w:val="22"/>
        </w:rPr>
        <w:t>Management and general assets have all been allocated to the wholesale segments in accordance with revised guidance from Ofwat.  This allocation reflects the principal use of these assets.  Recharges have been made between segments to reflect the estimated use of these assets by the retail segments.</w:t>
      </w:r>
    </w:p>
    <w:p w14:paraId="2B6DFB9F" w14:textId="77777777" w:rsidR="007D1218" w:rsidRPr="00B40DF4" w:rsidRDefault="007D1218" w:rsidP="007D1218">
      <w:pPr>
        <w:rPr>
          <w:rFonts w:cs="Arial"/>
          <w:color w:val="000000"/>
        </w:rPr>
      </w:pPr>
    </w:p>
    <w:p w14:paraId="355AC84C" w14:textId="77777777" w:rsidR="007D1218" w:rsidRPr="00B40DF4" w:rsidRDefault="007D1218" w:rsidP="009C3ABF">
      <w:pPr>
        <w:pStyle w:val="ListParagraph"/>
        <w:numPr>
          <w:ilvl w:val="1"/>
          <w:numId w:val="8"/>
        </w:numPr>
        <w:ind w:left="709" w:hanging="709"/>
        <w:rPr>
          <w:rFonts w:asciiTheme="minorHAnsi" w:hAnsiTheme="minorHAnsi" w:cs="Arial"/>
          <w:color w:val="000000"/>
          <w:sz w:val="22"/>
          <w:szCs w:val="22"/>
        </w:rPr>
      </w:pPr>
      <w:r w:rsidRPr="00B40DF4">
        <w:rPr>
          <w:rFonts w:asciiTheme="minorHAnsi" w:hAnsiTheme="minorHAnsi"/>
          <w:sz w:val="22"/>
          <w:szCs w:val="22"/>
        </w:rPr>
        <w:t>The allocations of management and general assets are pro-rated based on cost and accumulated depreciation balances.</w:t>
      </w:r>
    </w:p>
    <w:p w14:paraId="76C2D4A9" w14:textId="77777777" w:rsidR="007D1218" w:rsidRPr="00B40DF4" w:rsidRDefault="007D1218" w:rsidP="007D1218">
      <w:pPr>
        <w:rPr>
          <w:rFonts w:cs="Arial"/>
          <w:color w:val="000000"/>
        </w:rPr>
      </w:pPr>
    </w:p>
    <w:p w14:paraId="2B655B6B" w14:textId="77777777" w:rsidR="007D1218" w:rsidRPr="00B40DF4" w:rsidRDefault="007D1218" w:rsidP="009C3ABF">
      <w:pPr>
        <w:pStyle w:val="ListParagraph"/>
        <w:numPr>
          <w:ilvl w:val="1"/>
          <w:numId w:val="8"/>
        </w:numPr>
        <w:ind w:left="709" w:hanging="709"/>
        <w:rPr>
          <w:rFonts w:asciiTheme="minorHAnsi" w:hAnsiTheme="minorHAnsi" w:cs="Arial"/>
          <w:color w:val="000000"/>
          <w:sz w:val="22"/>
          <w:szCs w:val="22"/>
        </w:rPr>
      </w:pPr>
      <w:r w:rsidRPr="00B40DF4">
        <w:rPr>
          <w:rFonts w:asciiTheme="minorHAnsi" w:hAnsiTheme="minorHAnsi"/>
          <w:sz w:val="22"/>
          <w:szCs w:val="22"/>
        </w:rPr>
        <w:t>Fixed asset values relating to customer meters have been reallocated to the water service segment in accordance with Ofwat’s instructions.  This reallocation was made several years ago but has not yet been reflected in the fixed asset register.</w:t>
      </w:r>
    </w:p>
    <w:p w14:paraId="6A70F3CE" w14:textId="77777777" w:rsidR="007D1218" w:rsidRPr="00B40DF4" w:rsidRDefault="007D1218" w:rsidP="007D1218">
      <w:pPr>
        <w:rPr>
          <w:rFonts w:cs="Arial"/>
          <w:color w:val="000000"/>
        </w:rPr>
      </w:pPr>
    </w:p>
    <w:p w14:paraId="0A46212C" w14:textId="77777777" w:rsidR="007D1218" w:rsidRPr="00B40DF4" w:rsidRDefault="007D1218" w:rsidP="009C3ABF">
      <w:pPr>
        <w:pStyle w:val="ListParagraph"/>
        <w:numPr>
          <w:ilvl w:val="1"/>
          <w:numId w:val="8"/>
        </w:numPr>
        <w:ind w:left="709" w:hanging="709"/>
        <w:rPr>
          <w:rFonts w:asciiTheme="minorHAnsi" w:hAnsiTheme="minorHAnsi" w:cs="Arial"/>
          <w:color w:val="000000"/>
          <w:sz w:val="22"/>
          <w:szCs w:val="22"/>
        </w:rPr>
      </w:pPr>
      <w:r w:rsidRPr="00B40DF4">
        <w:rPr>
          <w:rFonts w:asciiTheme="minorHAnsi" w:hAnsiTheme="minorHAnsi"/>
          <w:sz w:val="22"/>
          <w:szCs w:val="22"/>
        </w:rPr>
        <w:t>The allocation of fixed asset additions is based on the Regulatory Reporting analysis of capital expenditure from the project costing system.  Capital expenditure in the projects costing system forms a detailed sub-section of the general ledger.  The values include both completed projects and incomplete projects.</w:t>
      </w:r>
    </w:p>
    <w:p w14:paraId="3F7347B6" w14:textId="77777777" w:rsidR="007D1218" w:rsidRPr="00B40DF4" w:rsidRDefault="007D1218" w:rsidP="007D1218">
      <w:pPr>
        <w:rPr>
          <w:rFonts w:cs="Arial"/>
          <w:color w:val="000000"/>
        </w:rPr>
      </w:pPr>
    </w:p>
    <w:p w14:paraId="4492E9D5" w14:textId="77777777" w:rsidR="007D1218" w:rsidRPr="00B40DF4" w:rsidRDefault="007D1218" w:rsidP="009C3ABF">
      <w:pPr>
        <w:pStyle w:val="ListParagraph"/>
        <w:numPr>
          <w:ilvl w:val="1"/>
          <w:numId w:val="8"/>
        </w:numPr>
        <w:ind w:left="709" w:hanging="709"/>
        <w:rPr>
          <w:rFonts w:asciiTheme="minorHAnsi" w:hAnsiTheme="minorHAnsi" w:cs="Arial"/>
          <w:color w:val="000000"/>
          <w:sz w:val="22"/>
          <w:szCs w:val="22"/>
        </w:rPr>
      </w:pPr>
      <w:r w:rsidRPr="00B40DF4">
        <w:rPr>
          <w:rFonts w:asciiTheme="minorHAnsi" w:hAnsiTheme="minorHAnsi"/>
          <w:sz w:val="22"/>
          <w:szCs w:val="22"/>
        </w:rPr>
        <w:t>The values for disposa</w:t>
      </w:r>
      <w:r>
        <w:rPr>
          <w:rFonts w:asciiTheme="minorHAnsi" w:hAnsiTheme="minorHAnsi"/>
          <w:sz w:val="22"/>
          <w:szCs w:val="22"/>
        </w:rPr>
        <w:t>ls are based on the fixed asset</w:t>
      </w:r>
      <w:r w:rsidRPr="00B40DF4">
        <w:rPr>
          <w:rFonts w:asciiTheme="minorHAnsi" w:hAnsiTheme="minorHAnsi"/>
          <w:sz w:val="22"/>
          <w:szCs w:val="22"/>
        </w:rPr>
        <w:t xml:space="preserve"> registers but exclude assets sold and leased back relating to finance lease transactions.</w:t>
      </w:r>
    </w:p>
    <w:p w14:paraId="53216C9D" w14:textId="77777777" w:rsidR="007D1218" w:rsidRPr="00B40DF4" w:rsidRDefault="007D1218" w:rsidP="007D1218">
      <w:pPr>
        <w:pStyle w:val="ListParagraph"/>
        <w:rPr>
          <w:rFonts w:asciiTheme="minorHAnsi" w:hAnsiTheme="minorHAnsi"/>
          <w:sz w:val="22"/>
          <w:szCs w:val="22"/>
        </w:rPr>
      </w:pPr>
    </w:p>
    <w:p w14:paraId="4450B3E1" w14:textId="77777777" w:rsidR="007D1218" w:rsidRPr="00B40DF4" w:rsidRDefault="007D1218" w:rsidP="009C3ABF">
      <w:pPr>
        <w:pStyle w:val="ListParagraph"/>
        <w:numPr>
          <w:ilvl w:val="1"/>
          <w:numId w:val="8"/>
        </w:numPr>
        <w:ind w:left="709" w:hanging="709"/>
        <w:rPr>
          <w:rFonts w:asciiTheme="minorHAnsi" w:hAnsiTheme="minorHAnsi" w:cs="Arial"/>
          <w:color w:val="000000"/>
          <w:sz w:val="22"/>
          <w:szCs w:val="22"/>
        </w:rPr>
      </w:pPr>
      <w:r w:rsidRPr="00B40DF4">
        <w:rPr>
          <w:rFonts w:asciiTheme="minorHAnsi" w:hAnsiTheme="minorHAnsi"/>
          <w:sz w:val="22"/>
          <w:szCs w:val="22"/>
        </w:rPr>
        <w:t>Depreciation charges for the year include both UK GAAP and IFRS depreciation in accordance with the requirements of IFRS reporting.  The allocation uses the more detailed subjective analysis codes to achieve a detailed analysis of depreciation in respect of management and general assets</w:t>
      </w:r>
      <w:r>
        <w:rPr>
          <w:rFonts w:asciiTheme="minorHAnsi" w:hAnsiTheme="minorHAnsi"/>
          <w:sz w:val="22"/>
          <w:szCs w:val="22"/>
        </w:rPr>
        <w:t>.</w:t>
      </w:r>
    </w:p>
    <w:p w14:paraId="67118757" w14:textId="77777777" w:rsidR="007D1218" w:rsidRPr="00781FF5" w:rsidRDefault="007D1218" w:rsidP="007D1218">
      <w:pPr>
        <w:pStyle w:val="ListParagraph"/>
        <w:rPr>
          <w:rFonts w:asciiTheme="minorHAnsi" w:hAnsiTheme="minorHAnsi"/>
          <w:sz w:val="22"/>
          <w:szCs w:val="22"/>
          <w:highlight w:val="cyan"/>
        </w:rPr>
      </w:pPr>
    </w:p>
    <w:p w14:paraId="2682152F" w14:textId="77777777" w:rsidR="007D1218" w:rsidRPr="0091297D" w:rsidRDefault="007D1218" w:rsidP="009C3ABF">
      <w:pPr>
        <w:pStyle w:val="ListParagraph"/>
        <w:numPr>
          <w:ilvl w:val="1"/>
          <w:numId w:val="8"/>
        </w:numPr>
        <w:ind w:left="709" w:hanging="709"/>
        <w:rPr>
          <w:rFonts w:asciiTheme="minorHAnsi" w:hAnsiTheme="minorHAnsi"/>
          <w:sz w:val="22"/>
          <w:szCs w:val="22"/>
          <w:highlight w:val="yellow"/>
        </w:rPr>
      </w:pPr>
      <w:r w:rsidRPr="0091297D">
        <w:rPr>
          <w:rFonts w:asciiTheme="minorHAnsi" w:hAnsiTheme="minorHAnsi"/>
          <w:sz w:val="22"/>
          <w:szCs w:val="22"/>
          <w:highlight w:val="yellow"/>
        </w:rPr>
        <w:br w:type="page"/>
      </w:r>
    </w:p>
    <w:p w14:paraId="67737A39" w14:textId="77777777" w:rsidR="007D1218" w:rsidRPr="00E518CA" w:rsidRDefault="007D1218" w:rsidP="00DB4B44">
      <w:pPr>
        <w:pStyle w:val="Heading1"/>
      </w:pPr>
      <w:bookmarkStart w:id="44" w:name="_Toc172019357"/>
      <w:bookmarkEnd w:id="41"/>
      <w:bookmarkEnd w:id="42"/>
      <w:r w:rsidRPr="00E518CA">
        <w:lastRenderedPageBreak/>
        <w:t>APPENDIX A:</w:t>
      </w:r>
      <w:bookmarkEnd w:id="44"/>
    </w:p>
    <w:p w14:paraId="5424C7DB" w14:textId="77777777" w:rsidR="007D1218" w:rsidRPr="00E518CA" w:rsidRDefault="007D1218" w:rsidP="00DB4B44">
      <w:pPr>
        <w:pStyle w:val="Heading1"/>
      </w:pPr>
      <w:bookmarkStart w:id="45" w:name="_Toc172019358"/>
      <w:r w:rsidRPr="00E518CA">
        <w:t>BUSINESS UNIT, SERVICES, ACTIVITIES AND SUB-ACTIVITIES SUMMARY</w:t>
      </w:r>
      <w:bookmarkEnd w:id="45"/>
      <w:r w:rsidRPr="00E518CA">
        <w:tab/>
      </w:r>
      <w:r w:rsidRPr="00E518CA">
        <w:tab/>
      </w:r>
    </w:p>
    <w:p w14:paraId="2213ECA9" w14:textId="77777777" w:rsidR="007D1218" w:rsidRPr="00E518CA" w:rsidRDefault="007D1218" w:rsidP="007D1218"/>
    <w:tbl>
      <w:tblPr>
        <w:tblStyle w:val="TableGrid"/>
        <w:tblW w:w="9781" w:type="dxa"/>
        <w:tblInd w:w="108" w:type="dxa"/>
        <w:tblLook w:val="04A0" w:firstRow="1" w:lastRow="0" w:firstColumn="1" w:lastColumn="0" w:noHBand="0" w:noVBand="1"/>
      </w:tblPr>
      <w:tblGrid>
        <w:gridCol w:w="1701"/>
        <w:gridCol w:w="2410"/>
        <w:gridCol w:w="2552"/>
        <w:gridCol w:w="3118"/>
      </w:tblGrid>
      <w:tr w:rsidR="007D1218" w:rsidRPr="00E518CA" w14:paraId="1C76697D" w14:textId="77777777" w:rsidTr="008B45DA">
        <w:trPr>
          <w:trHeight w:val="405"/>
        </w:trPr>
        <w:tc>
          <w:tcPr>
            <w:tcW w:w="1701" w:type="dxa"/>
            <w:shd w:val="clear" w:color="auto" w:fill="B4C6E7" w:themeFill="accent1" w:themeFillTint="66"/>
            <w:vAlign w:val="center"/>
          </w:tcPr>
          <w:p w14:paraId="716AC989" w14:textId="77777777" w:rsidR="007D1218" w:rsidRPr="00E518CA" w:rsidRDefault="007D1218" w:rsidP="008B45DA">
            <w:pPr>
              <w:rPr>
                <w:sz w:val="20"/>
                <w:szCs w:val="20"/>
                <w:lang w:eastAsia="en-GB"/>
              </w:rPr>
            </w:pPr>
            <w:r w:rsidRPr="00E518CA">
              <w:rPr>
                <w:sz w:val="20"/>
                <w:szCs w:val="20"/>
                <w:lang w:eastAsia="en-GB"/>
              </w:rPr>
              <w:t>Sector</w:t>
            </w:r>
          </w:p>
        </w:tc>
        <w:tc>
          <w:tcPr>
            <w:tcW w:w="2410" w:type="dxa"/>
            <w:shd w:val="clear" w:color="auto" w:fill="B4C6E7" w:themeFill="accent1" w:themeFillTint="66"/>
            <w:vAlign w:val="center"/>
          </w:tcPr>
          <w:p w14:paraId="28C28B2D" w14:textId="77777777" w:rsidR="007D1218" w:rsidRPr="00E518CA" w:rsidRDefault="007D1218" w:rsidP="008B45DA">
            <w:pPr>
              <w:rPr>
                <w:sz w:val="20"/>
                <w:szCs w:val="20"/>
                <w:lang w:eastAsia="en-GB"/>
              </w:rPr>
            </w:pPr>
            <w:r w:rsidRPr="00E518CA">
              <w:rPr>
                <w:sz w:val="20"/>
                <w:szCs w:val="20"/>
                <w:lang w:eastAsia="en-GB"/>
              </w:rPr>
              <w:t>Business Unit</w:t>
            </w:r>
          </w:p>
        </w:tc>
        <w:tc>
          <w:tcPr>
            <w:tcW w:w="2552" w:type="dxa"/>
            <w:shd w:val="clear" w:color="auto" w:fill="B4C6E7" w:themeFill="accent1" w:themeFillTint="66"/>
            <w:vAlign w:val="center"/>
          </w:tcPr>
          <w:p w14:paraId="4A62014F" w14:textId="77777777" w:rsidR="007D1218" w:rsidRPr="00E518CA" w:rsidRDefault="007D1218" w:rsidP="008B45DA">
            <w:pPr>
              <w:rPr>
                <w:sz w:val="20"/>
                <w:szCs w:val="20"/>
                <w:lang w:eastAsia="en-GB"/>
              </w:rPr>
            </w:pPr>
            <w:r w:rsidRPr="00E518CA">
              <w:rPr>
                <w:sz w:val="20"/>
                <w:szCs w:val="20"/>
                <w:lang w:eastAsia="en-GB"/>
              </w:rPr>
              <w:t>Services</w:t>
            </w:r>
          </w:p>
        </w:tc>
        <w:tc>
          <w:tcPr>
            <w:tcW w:w="3118" w:type="dxa"/>
            <w:shd w:val="clear" w:color="auto" w:fill="B4C6E7" w:themeFill="accent1" w:themeFillTint="66"/>
            <w:vAlign w:val="center"/>
          </w:tcPr>
          <w:p w14:paraId="2CD903E0" w14:textId="77777777" w:rsidR="007D1218" w:rsidRPr="00E518CA" w:rsidRDefault="007D1218" w:rsidP="008B45DA">
            <w:pPr>
              <w:rPr>
                <w:sz w:val="20"/>
                <w:szCs w:val="20"/>
                <w:lang w:eastAsia="en-GB"/>
              </w:rPr>
            </w:pPr>
            <w:r w:rsidRPr="00E518CA">
              <w:rPr>
                <w:sz w:val="20"/>
                <w:szCs w:val="20"/>
                <w:lang w:eastAsia="en-GB"/>
              </w:rPr>
              <w:t>Activities examples</w:t>
            </w:r>
          </w:p>
        </w:tc>
      </w:tr>
      <w:tr w:rsidR="007D1218" w:rsidRPr="00E518CA" w14:paraId="6A22EC4B" w14:textId="77777777" w:rsidTr="008B45DA">
        <w:trPr>
          <w:trHeight w:val="979"/>
        </w:trPr>
        <w:tc>
          <w:tcPr>
            <w:tcW w:w="1701" w:type="dxa"/>
          </w:tcPr>
          <w:p w14:paraId="05B9B455" w14:textId="77777777" w:rsidR="007D1218" w:rsidRPr="00E518CA" w:rsidRDefault="007D1218" w:rsidP="008B45DA">
            <w:pPr>
              <w:rPr>
                <w:sz w:val="20"/>
                <w:szCs w:val="20"/>
                <w:lang w:eastAsia="en-GB"/>
              </w:rPr>
            </w:pPr>
            <w:r w:rsidRPr="00E518CA">
              <w:rPr>
                <w:sz w:val="20"/>
                <w:szCs w:val="20"/>
                <w:lang w:eastAsia="en-GB"/>
              </w:rPr>
              <w:t>Retail</w:t>
            </w:r>
          </w:p>
        </w:tc>
        <w:tc>
          <w:tcPr>
            <w:tcW w:w="2410" w:type="dxa"/>
            <w:tcBorders>
              <w:bottom w:val="single" w:sz="4" w:space="0" w:color="auto"/>
            </w:tcBorders>
          </w:tcPr>
          <w:p w14:paraId="4047E524" w14:textId="77777777" w:rsidR="007D1218" w:rsidRPr="00E518CA" w:rsidRDefault="007D1218" w:rsidP="008B45DA">
            <w:pPr>
              <w:rPr>
                <w:sz w:val="20"/>
                <w:szCs w:val="20"/>
                <w:lang w:eastAsia="en-GB"/>
              </w:rPr>
            </w:pPr>
            <w:r w:rsidRPr="00E518CA">
              <w:rPr>
                <w:sz w:val="20"/>
                <w:szCs w:val="20"/>
                <w:lang w:eastAsia="en-GB"/>
              </w:rPr>
              <w:t xml:space="preserve">Household </w:t>
            </w:r>
          </w:p>
          <w:p w14:paraId="212E5BC3" w14:textId="77777777" w:rsidR="007D1218" w:rsidRPr="00E518CA" w:rsidRDefault="007D1218" w:rsidP="008B45DA">
            <w:pPr>
              <w:rPr>
                <w:sz w:val="20"/>
                <w:szCs w:val="20"/>
                <w:lang w:eastAsia="en-GB"/>
              </w:rPr>
            </w:pPr>
          </w:p>
          <w:p w14:paraId="0A831ED6" w14:textId="77777777" w:rsidR="007D1218" w:rsidRPr="00E518CA" w:rsidRDefault="007D1218" w:rsidP="008B45DA">
            <w:pPr>
              <w:rPr>
                <w:sz w:val="20"/>
                <w:szCs w:val="20"/>
                <w:lang w:eastAsia="en-GB"/>
              </w:rPr>
            </w:pPr>
          </w:p>
        </w:tc>
        <w:tc>
          <w:tcPr>
            <w:tcW w:w="2552" w:type="dxa"/>
            <w:tcBorders>
              <w:bottom w:val="single" w:sz="4" w:space="0" w:color="auto"/>
            </w:tcBorders>
          </w:tcPr>
          <w:p w14:paraId="6342A6CC" w14:textId="77777777" w:rsidR="007D1218" w:rsidRPr="00E518CA" w:rsidRDefault="007D1218" w:rsidP="008B45DA">
            <w:pPr>
              <w:rPr>
                <w:sz w:val="20"/>
                <w:szCs w:val="20"/>
                <w:lang w:eastAsia="en-GB"/>
              </w:rPr>
            </w:pPr>
            <w:r w:rsidRPr="00E518CA">
              <w:rPr>
                <w:sz w:val="20"/>
                <w:szCs w:val="20"/>
                <w:lang w:eastAsia="en-GB"/>
              </w:rPr>
              <w:t>All customer facing costs of water and sewerage services</w:t>
            </w:r>
          </w:p>
        </w:tc>
        <w:tc>
          <w:tcPr>
            <w:tcW w:w="3118" w:type="dxa"/>
            <w:tcBorders>
              <w:bottom w:val="single" w:sz="4" w:space="0" w:color="auto"/>
            </w:tcBorders>
          </w:tcPr>
          <w:p w14:paraId="0F05BCA6" w14:textId="77777777" w:rsidR="007D1218" w:rsidRPr="00E518CA" w:rsidRDefault="007D1218" w:rsidP="008B45DA">
            <w:pPr>
              <w:rPr>
                <w:sz w:val="20"/>
                <w:szCs w:val="20"/>
                <w:lang w:eastAsia="en-GB"/>
              </w:rPr>
            </w:pPr>
            <w:r w:rsidRPr="00E518CA">
              <w:rPr>
                <w:sz w:val="20"/>
                <w:szCs w:val="20"/>
                <w:lang w:eastAsia="en-GB"/>
              </w:rPr>
              <w:t>Billing, payment handling, meter reading</w:t>
            </w:r>
          </w:p>
        </w:tc>
      </w:tr>
      <w:tr w:rsidR="007D1218" w:rsidRPr="00E518CA" w14:paraId="58A1A689" w14:textId="77777777" w:rsidTr="008B45DA">
        <w:trPr>
          <w:trHeight w:val="818"/>
        </w:trPr>
        <w:tc>
          <w:tcPr>
            <w:tcW w:w="1701" w:type="dxa"/>
            <w:vMerge w:val="restart"/>
          </w:tcPr>
          <w:p w14:paraId="58CFD7BB" w14:textId="77777777" w:rsidR="007D1218" w:rsidRPr="00E518CA" w:rsidRDefault="007D1218" w:rsidP="008B45DA">
            <w:pPr>
              <w:rPr>
                <w:sz w:val="20"/>
                <w:szCs w:val="20"/>
                <w:lang w:eastAsia="en-GB"/>
              </w:rPr>
            </w:pPr>
            <w:r w:rsidRPr="00E518CA">
              <w:rPr>
                <w:sz w:val="20"/>
                <w:szCs w:val="20"/>
                <w:lang w:eastAsia="en-GB"/>
              </w:rPr>
              <w:t>Wholesale – Drinking Water</w:t>
            </w:r>
          </w:p>
        </w:tc>
        <w:tc>
          <w:tcPr>
            <w:tcW w:w="2410" w:type="dxa"/>
            <w:tcBorders>
              <w:bottom w:val="nil"/>
            </w:tcBorders>
          </w:tcPr>
          <w:p w14:paraId="3893FCA6" w14:textId="77777777" w:rsidR="007D1218" w:rsidRPr="00E518CA" w:rsidRDefault="007D1218" w:rsidP="008B45DA">
            <w:pPr>
              <w:rPr>
                <w:sz w:val="20"/>
                <w:szCs w:val="20"/>
                <w:lang w:eastAsia="en-GB"/>
              </w:rPr>
            </w:pPr>
            <w:r w:rsidRPr="00E518CA">
              <w:rPr>
                <w:sz w:val="20"/>
                <w:szCs w:val="20"/>
                <w:lang w:eastAsia="en-GB"/>
              </w:rPr>
              <w:t>Water Resources</w:t>
            </w:r>
          </w:p>
        </w:tc>
        <w:tc>
          <w:tcPr>
            <w:tcW w:w="2552" w:type="dxa"/>
            <w:tcBorders>
              <w:bottom w:val="nil"/>
            </w:tcBorders>
          </w:tcPr>
          <w:p w14:paraId="20502C5F" w14:textId="77777777" w:rsidR="007D1218" w:rsidRPr="00E518CA" w:rsidRDefault="007D1218" w:rsidP="008B45DA">
            <w:pPr>
              <w:rPr>
                <w:sz w:val="20"/>
                <w:szCs w:val="20"/>
                <w:lang w:eastAsia="en-GB"/>
              </w:rPr>
            </w:pPr>
            <w:r w:rsidRPr="00E518CA">
              <w:rPr>
                <w:sz w:val="20"/>
                <w:szCs w:val="20"/>
                <w:lang w:eastAsia="en-GB"/>
              </w:rPr>
              <w:t>Abstraction licence and water abstraction</w:t>
            </w:r>
          </w:p>
        </w:tc>
        <w:tc>
          <w:tcPr>
            <w:tcW w:w="3118" w:type="dxa"/>
            <w:tcBorders>
              <w:bottom w:val="nil"/>
            </w:tcBorders>
          </w:tcPr>
          <w:p w14:paraId="3EC2F79A" w14:textId="77777777" w:rsidR="007D1218" w:rsidRPr="00E518CA" w:rsidRDefault="007D1218" w:rsidP="008B45DA">
            <w:pPr>
              <w:rPr>
                <w:sz w:val="20"/>
                <w:szCs w:val="20"/>
                <w:lang w:eastAsia="en-GB"/>
              </w:rPr>
            </w:pPr>
            <w:r w:rsidRPr="00E518CA">
              <w:rPr>
                <w:sz w:val="20"/>
                <w:szCs w:val="20"/>
                <w:lang w:eastAsia="en-GB"/>
              </w:rPr>
              <w:t>Abstraction Licences/charges, Water abstraction/catchment management, testing</w:t>
            </w:r>
          </w:p>
        </w:tc>
      </w:tr>
      <w:tr w:rsidR="007D1218" w:rsidRPr="00E518CA" w14:paraId="689AFBE4" w14:textId="77777777" w:rsidTr="008B45DA">
        <w:trPr>
          <w:trHeight w:val="624"/>
        </w:trPr>
        <w:tc>
          <w:tcPr>
            <w:tcW w:w="1701" w:type="dxa"/>
            <w:vMerge/>
          </w:tcPr>
          <w:p w14:paraId="4C7EBC92" w14:textId="77777777" w:rsidR="007D1218" w:rsidRPr="00E518CA" w:rsidRDefault="007D1218" w:rsidP="008B45DA">
            <w:pPr>
              <w:rPr>
                <w:sz w:val="20"/>
                <w:szCs w:val="20"/>
                <w:lang w:eastAsia="en-GB"/>
              </w:rPr>
            </w:pPr>
          </w:p>
        </w:tc>
        <w:tc>
          <w:tcPr>
            <w:tcW w:w="2410" w:type="dxa"/>
            <w:tcBorders>
              <w:top w:val="nil"/>
              <w:bottom w:val="nil"/>
            </w:tcBorders>
          </w:tcPr>
          <w:p w14:paraId="35150EF9" w14:textId="77777777" w:rsidR="007D1218" w:rsidRPr="00E518CA" w:rsidRDefault="007D1218" w:rsidP="008B45DA">
            <w:pPr>
              <w:rPr>
                <w:sz w:val="20"/>
                <w:szCs w:val="20"/>
                <w:lang w:eastAsia="en-GB"/>
              </w:rPr>
            </w:pPr>
            <w:r w:rsidRPr="00E518CA">
              <w:rPr>
                <w:sz w:val="20"/>
                <w:szCs w:val="20"/>
                <w:lang w:eastAsia="en-GB"/>
              </w:rPr>
              <w:t>Raw Water Distribution</w:t>
            </w:r>
          </w:p>
        </w:tc>
        <w:tc>
          <w:tcPr>
            <w:tcW w:w="2552" w:type="dxa"/>
            <w:tcBorders>
              <w:top w:val="nil"/>
              <w:bottom w:val="nil"/>
            </w:tcBorders>
          </w:tcPr>
          <w:p w14:paraId="03EC2972" w14:textId="77777777" w:rsidR="007D1218" w:rsidRPr="00E518CA" w:rsidRDefault="007D1218" w:rsidP="008B45DA">
            <w:pPr>
              <w:rPr>
                <w:sz w:val="20"/>
                <w:szCs w:val="20"/>
                <w:lang w:eastAsia="en-GB"/>
              </w:rPr>
            </w:pPr>
            <w:r w:rsidRPr="00E518CA">
              <w:rPr>
                <w:sz w:val="20"/>
                <w:szCs w:val="20"/>
                <w:lang w:eastAsia="en-GB"/>
              </w:rPr>
              <w:t>Raw water storage and transport</w:t>
            </w:r>
          </w:p>
        </w:tc>
        <w:tc>
          <w:tcPr>
            <w:tcW w:w="3118" w:type="dxa"/>
            <w:tcBorders>
              <w:top w:val="nil"/>
              <w:bottom w:val="nil"/>
            </w:tcBorders>
          </w:tcPr>
          <w:p w14:paraId="15FEBCBA" w14:textId="77777777" w:rsidR="007D1218" w:rsidRPr="00E518CA" w:rsidRDefault="007D1218" w:rsidP="008B45DA">
            <w:pPr>
              <w:rPr>
                <w:sz w:val="20"/>
                <w:szCs w:val="20"/>
                <w:lang w:eastAsia="en-GB"/>
              </w:rPr>
            </w:pPr>
            <w:r w:rsidRPr="00E518CA">
              <w:rPr>
                <w:sz w:val="20"/>
                <w:szCs w:val="20"/>
                <w:lang w:eastAsia="en-GB"/>
              </w:rPr>
              <w:t>Pumping, leakage detection, power generation</w:t>
            </w:r>
          </w:p>
        </w:tc>
      </w:tr>
      <w:tr w:rsidR="007D1218" w:rsidRPr="00E518CA" w14:paraId="787BE217" w14:textId="77777777" w:rsidTr="008B45DA">
        <w:trPr>
          <w:trHeight w:val="624"/>
        </w:trPr>
        <w:tc>
          <w:tcPr>
            <w:tcW w:w="1701" w:type="dxa"/>
            <w:vMerge/>
          </w:tcPr>
          <w:p w14:paraId="1CBE4F3E" w14:textId="77777777" w:rsidR="007D1218" w:rsidRPr="00E518CA" w:rsidRDefault="007D1218" w:rsidP="008B45DA">
            <w:pPr>
              <w:rPr>
                <w:sz w:val="20"/>
                <w:szCs w:val="20"/>
                <w:lang w:eastAsia="en-GB"/>
              </w:rPr>
            </w:pPr>
          </w:p>
        </w:tc>
        <w:tc>
          <w:tcPr>
            <w:tcW w:w="2410" w:type="dxa"/>
            <w:tcBorders>
              <w:top w:val="nil"/>
              <w:bottom w:val="nil"/>
            </w:tcBorders>
          </w:tcPr>
          <w:p w14:paraId="4BF2C933" w14:textId="77777777" w:rsidR="007D1218" w:rsidRPr="00E518CA" w:rsidRDefault="007D1218" w:rsidP="008B45DA">
            <w:pPr>
              <w:rPr>
                <w:sz w:val="20"/>
                <w:szCs w:val="20"/>
                <w:lang w:eastAsia="en-GB"/>
              </w:rPr>
            </w:pPr>
            <w:r w:rsidRPr="00E518CA">
              <w:rPr>
                <w:sz w:val="20"/>
                <w:szCs w:val="20"/>
                <w:lang w:eastAsia="en-GB"/>
              </w:rPr>
              <w:t>Water Treatment</w:t>
            </w:r>
          </w:p>
        </w:tc>
        <w:tc>
          <w:tcPr>
            <w:tcW w:w="2552" w:type="dxa"/>
            <w:tcBorders>
              <w:top w:val="nil"/>
              <w:bottom w:val="nil"/>
            </w:tcBorders>
          </w:tcPr>
          <w:p w14:paraId="3C1D94E6" w14:textId="77777777" w:rsidR="007D1218" w:rsidRPr="00E518CA" w:rsidRDefault="007D1218" w:rsidP="008B45DA">
            <w:pPr>
              <w:rPr>
                <w:sz w:val="20"/>
                <w:szCs w:val="20"/>
                <w:lang w:eastAsia="en-GB"/>
              </w:rPr>
            </w:pPr>
            <w:r w:rsidRPr="00E518CA">
              <w:rPr>
                <w:sz w:val="20"/>
                <w:szCs w:val="20"/>
                <w:lang w:eastAsia="en-GB"/>
              </w:rPr>
              <w:t>Water treatment</w:t>
            </w:r>
          </w:p>
        </w:tc>
        <w:tc>
          <w:tcPr>
            <w:tcW w:w="3118" w:type="dxa"/>
            <w:tcBorders>
              <w:top w:val="nil"/>
              <w:bottom w:val="nil"/>
            </w:tcBorders>
          </w:tcPr>
          <w:p w14:paraId="55E6208F" w14:textId="77777777" w:rsidR="007D1218" w:rsidRPr="00E518CA" w:rsidRDefault="007D1218" w:rsidP="008B45DA">
            <w:pPr>
              <w:rPr>
                <w:sz w:val="20"/>
                <w:szCs w:val="20"/>
                <w:lang w:eastAsia="en-GB"/>
              </w:rPr>
            </w:pPr>
            <w:r w:rsidRPr="00E518CA">
              <w:rPr>
                <w:sz w:val="20"/>
                <w:szCs w:val="20"/>
                <w:lang w:eastAsia="en-GB"/>
              </w:rPr>
              <w:t>Managing water treatment, testing, power generation</w:t>
            </w:r>
          </w:p>
        </w:tc>
      </w:tr>
      <w:tr w:rsidR="007D1218" w:rsidRPr="00E518CA" w14:paraId="43D2A687" w14:textId="77777777" w:rsidTr="008B45DA">
        <w:trPr>
          <w:trHeight w:val="624"/>
        </w:trPr>
        <w:tc>
          <w:tcPr>
            <w:tcW w:w="1701" w:type="dxa"/>
            <w:vMerge/>
          </w:tcPr>
          <w:p w14:paraId="439D8BE2" w14:textId="77777777" w:rsidR="007D1218" w:rsidRPr="00E518CA" w:rsidRDefault="007D1218" w:rsidP="008B45DA">
            <w:pPr>
              <w:rPr>
                <w:sz w:val="20"/>
                <w:szCs w:val="20"/>
                <w:lang w:eastAsia="en-GB"/>
              </w:rPr>
            </w:pPr>
          </w:p>
        </w:tc>
        <w:tc>
          <w:tcPr>
            <w:tcW w:w="2410" w:type="dxa"/>
            <w:tcBorders>
              <w:top w:val="nil"/>
              <w:bottom w:val="single" w:sz="4" w:space="0" w:color="auto"/>
            </w:tcBorders>
          </w:tcPr>
          <w:p w14:paraId="0E0C3CF0" w14:textId="77777777" w:rsidR="007D1218" w:rsidRPr="00E518CA" w:rsidRDefault="007D1218" w:rsidP="008B45DA">
            <w:pPr>
              <w:rPr>
                <w:sz w:val="20"/>
                <w:szCs w:val="20"/>
                <w:lang w:eastAsia="en-GB"/>
              </w:rPr>
            </w:pPr>
            <w:r w:rsidRPr="00E518CA">
              <w:rPr>
                <w:sz w:val="20"/>
                <w:szCs w:val="20"/>
                <w:lang w:eastAsia="en-GB"/>
              </w:rPr>
              <w:t>Treated Water Distribution</w:t>
            </w:r>
          </w:p>
        </w:tc>
        <w:tc>
          <w:tcPr>
            <w:tcW w:w="2552" w:type="dxa"/>
            <w:tcBorders>
              <w:top w:val="nil"/>
              <w:bottom w:val="single" w:sz="4" w:space="0" w:color="auto"/>
            </w:tcBorders>
          </w:tcPr>
          <w:p w14:paraId="068A82E1" w14:textId="77777777" w:rsidR="007D1218" w:rsidRPr="00E518CA" w:rsidRDefault="007D1218" w:rsidP="008B45DA">
            <w:pPr>
              <w:rPr>
                <w:sz w:val="20"/>
                <w:szCs w:val="20"/>
                <w:lang w:eastAsia="en-GB"/>
              </w:rPr>
            </w:pPr>
            <w:r w:rsidRPr="00E518CA">
              <w:rPr>
                <w:sz w:val="20"/>
                <w:szCs w:val="20"/>
                <w:lang w:eastAsia="en-GB"/>
              </w:rPr>
              <w:t>Trunk and local water transport and distribution</w:t>
            </w:r>
          </w:p>
        </w:tc>
        <w:tc>
          <w:tcPr>
            <w:tcW w:w="3118" w:type="dxa"/>
            <w:tcBorders>
              <w:top w:val="nil"/>
              <w:bottom w:val="single" w:sz="4" w:space="0" w:color="auto"/>
            </w:tcBorders>
          </w:tcPr>
          <w:p w14:paraId="0ACBB45A" w14:textId="77777777" w:rsidR="007D1218" w:rsidRPr="00E518CA" w:rsidRDefault="007D1218" w:rsidP="008B45DA">
            <w:pPr>
              <w:rPr>
                <w:sz w:val="20"/>
                <w:szCs w:val="20"/>
                <w:lang w:eastAsia="en-GB"/>
              </w:rPr>
            </w:pPr>
            <w:r w:rsidRPr="00E518CA">
              <w:rPr>
                <w:sz w:val="20"/>
                <w:szCs w:val="20"/>
                <w:lang w:eastAsia="en-GB"/>
              </w:rPr>
              <w:t>Pumping, leakage detection, network modelling</w:t>
            </w:r>
          </w:p>
        </w:tc>
      </w:tr>
      <w:tr w:rsidR="007D1218" w:rsidRPr="00E518CA" w14:paraId="7B57F21C" w14:textId="77777777" w:rsidTr="008B45DA">
        <w:trPr>
          <w:trHeight w:val="691"/>
        </w:trPr>
        <w:tc>
          <w:tcPr>
            <w:tcW w:w="1701" w:type="dxa"/>
            <w:vMerge w:val="restart"/>
          </w:tcPr>
          <w:p w14:paraId="034B6DFA" w14:textId="77777777" w:rsidR="007D1218" w:rsidRPr="00E518CA" w:rsidRDefault="007D1218" w:rsidP="008B45DA">
            <w:pPr>
              <w:rPr>
                <w:sz w:val="20"/>
                <w:szCs w:val="20"/>
                <w:lang w:eastAsia="en-GB"/>
              </w:rPr>
            </w:pPr>
            <w:r w:rsidRPr="00E518CA">
              <w:rPr>
                <w:sz w:val="20"/>
                <w:szCs w:val="20"/>
                <w:lang w:eastAsia="en-GB"/>
              </w:rPr>
              <w:t>Wholesale – Waste Water</w:t>
            </w:r>
          </w:p>
        </w:tc>
        <w:tc>
          <w:tcPr>
            <w:tcW w:w="2410" w:type="dxa"/>
            <w:tcBorders>
              <w:bottom w:val="nil"/>
            </w:tcBorders>
          </w:tcPr>
          <w:p w14:paraId="7FC6B6A1" w14:textId="77777777" w:rsidR="007D1218" w:rsidRPr="00E518CA" w:rsidRDefault="007D1218" w:rsidP="008B45DA">
            <w:pPr>
              <w:rPr>
                <w:sz w:val="20"/>
                <w:szCs w:val="20"/>
                <w:lang w:eastAsia="en-GB"/>
              </w:rPr>
            </w:pPr>
            <w:r w:rsidRPr="00E518CA">
              <w:rPr>
                <w:sz w:val="20"/>
                <w:szCs w:val="20"/>
                <w:lang w:eastAsia="en-GB"/>
              </w:rPr>
              <w:t>Sewage Collection</w:t>
            </w:r>
          </w:p>
        </w:tc>
        <w:tc>
          <w:tcPr>
            <w:tcW w:w="2552" w:type="dxa"/>
            <w:tcBorders>
              <w:bottom w:val="nil"/>
            </w:tcBorders>
          </w:tcPr>
          <w:p w14:paraId="05594225" w14:textId="77777777" w:rsidR="007D1218" w:rsidRPr="00E518CA" w:rsidRDefault="007D1218" w:rsidP="008B45DA">
            <w:pPr>
              <w:rPr>
                <w:sz w:val="20"/>
                <w:szCs w:val="20"/>
                <w:lang w:eastAsia="en-GB"/>
              </w:rPr>
            </w:pPr>
            <w:r w:rsidRPr="00E518CA">
              <w:rPr>
                <w:sz w:val="20"/>
                <w:szCs w:val="20"/>
                <w:lang w:eastAsia="en-GB"/>
              </w:rPr>
              <w:t>Foul, surface water &amp; highway drainage</w:t>
            </w:r>
          </w:p>
        </w:tc>
        <w:tc>
          <w:tcPr>
            <w:tcW w:w="3118" w:type="dxa"/>
            <w:tcBorders>
              <w:bottom w:val="nil"/>
            </w:tcBorders>
          </w:tcPr>
          <w:p w14:paraId="4C4B2F07" w14:textId="77777777" w:rsidR="007D1218" w:rsidRPr="00E518CA" w:rsidRDefault="007D1218" w:rsidP="008B45DA">
            <w:pPr>
              <w:rPr>
                <w:sz w:val="20"/>
                <w:szCs w:val="20"/>
                <w:lang w:eastAsia="en-GB"/>
              </w:rPr>
            </w:pPr>
            <w:r w:rsidRPr="00E518CA">
              <w:rPr>
                <w:sz w:val="20"/>
                <w:szCs w:val="20"/>
                <w:lang w:eastAsia="en-GB"/>
              </w:rPr>
              <w:t>Pumping, sewer inspection, leakage detection</w:t>
            </w:r>
          </w:p>
        </w:tc>
      </w:tr>
      <w:tr w:rsidR="007D1218" w:rsidRPr="00E518CA" w14:paraId="41045B68" w14:textId="77777777" w:rsidTr="008B45DA">
        <w:trPr>
          <w:trHeight w:val="715"/>
        </w:trPr>
        <w:tc>
          <w:tcPr>
            <w:tcW w:w="1701" w:type="dxa"/>
            <w:vMerge/>
          </w:tcPr>
          <w:p w14:paraId="77F022D1" w14:textId="77777777" w:rsidR="007D1218" w:rsidRPr="00E518CA" w:rsidRDefault="007D1218" w:rsidP="008B45DA">
            <w:pPr>
              <w:rPr>
                <w:sz w:val="20"/>
                <w:szCs w:val="20"/>
                <w:lang w:eastAsia="en-GB"/>
              </w:rPr>
            </w:pPr>
          </w:p>
        </w:tc>
        <w:tc>
          <w:tcPr>
            <w:tcW w:w="2410" w:type="dxa"/>
            <w:tcBorders>
              <w:top w:val="nil"/>
              <w:bottom w:val="nil"/>
            </w:tcBorders>
          </w:tcPr>
          <w:p w14:paraId="52749580" w14:textId="77777777" w:rsidR="007D1218" w:rsidRPr="00E518CA" w:rsidRDefault="007D1218" w:rsidP="008B45DA">
            <w:pPr>
              <w:rPr>
                <w:sz w:val="20"/>
                <w:szCs w:val="20"/>
                <w:lang w:eastAsia="en-GB"/>
              </w:rPr>
            </w:pPr>
            <w:r w:rsidRPr="00E518CA">
              <w:rPr>
                <w:sz w:val="20"/>
                <w:szCs w:val="20"/>
                <w:lang w:eastAsia="en-GB"/>
              </w:rPr>
              <w:t>Sewage Treatment</w:t>
            </w:r>
          </w:p>
        </w:tc>
        <w:tc>
          <w:tcPr>
            <w:tcW w:w="2552" w:type="dxa"/>
            <w:tcBorders>
              <w:top w:val="nil"/>
              <w:bottom w:val="nil"/>
            </w:tcBorders>
          </w:tcPr>
          <w:p w14:paraId="5D9826CA" w14:textId="77777777" w:rsidR="007D1218" w:rsidRPr="00E518CA" w:rsidRDefault="007D1218" w:rsidP="008B45DA">
            <w:pPr>
              <w:rPr>
                <w:sz w:val="20"/>
                <w:szCs w:val="20"/>
                <w:lang w:eastAsia="en-GB"/>
              </w:rPr>
            </w:pPr>
            <w:r w:rsidRPr="00E518CA">
              <w:rPr>
                <w:sz w:val="20"/>
                <w:szCs w:val="20"/>
                <w:lang w:eastAsia="en-GB"/>
              </w:rPr>
              <w:t xml:space="preserve">Sewage treatment and disposal including treatment of liquors produced as part of the sludge treatment </w:t>
            </w:r>
            <w:proofErr w:type="gramStart"/>
            <w:r w:rsidRPr="00E518CA">
              <w:rPr>
                <w:sz w:val="20"/>
                <w:szCs w:val="20"/>
                <w:lang w:eastAsia="en-GB"/>
              </w:rPr>
              <w:t>process</w:t>
            </w:r>
            <w:proofErr w:type="gramEnd"/>
          </w:p>
          <w:p w14:paraId="311504AD" w14:textId="77777777" w:rsidR="007D1218" w:rsidRPr="00E518CA" w:rsidRDefault="007D1218" w:rsidP="008B45DA">
            <w:pPr>
              <w:rPr>
                <w:sz w:val="20"/>
                <w:szCs w:val="20"/>
                <w:lang w:eastAsia="en-GB"/>
              </w:rPr>
            </w:pPr>
          </w:p>
        </w:tc>
        <w:tc>
          <w:tcPr>
            <w:tcW w:w="3118" w:type="dxa"/>
            <w:tcBorders>
              <w:top w:val="nil"/>
              <w:bottom w:val="nil"/>
            </w:tcBorders>
          </w:tcPr>
          <w:p w14:paraId="0E612CE7" w14:textId="77777777" w:rsidR="007D1218" w:rsidRPr="00E518CA" w:rsidRDefault="007D1218" w:rsidP="008B45DA">
            <w:pPr>
              <w:rPr>
                <w:sz w:val="20"/>
                <w:szCs w:val="20"/>
                <w:lang w:eastAsia="en-GB"/>
              </w:rPr>
            </w:pPr>
            <w:r w:rsidRPr="00E518CA">
              <w:rPr>
                <w:sz w:val="20"/>
                <w:szCs w:val="20"/>
                <w:lang w:eastAsia="en-GB"/>
              </w:rPr>
              <w:t>Treatment, sampling, management of discharges</w:t>
            </w:r>
          </w:p>
        </w:tc>
      </w:tr>
      <w:tr w:rsidR="007D1218" w:rsidRPr="00E518CA" w14:paraId="5986A703" w14:textId="77777777" w:rsidTr="008B45DA">
        <w:trPr>
          <w:trHeight w:val="824"/>
        </w:trPr>
        <w:tc>
          <w:tcPr>
            <w:tcW w:w="1701" w:type="dxa"/>
            <w:vMerge/>
          </w:tcPr>
          <w:p w14:paraId="5F33752D" w14:textId="77777777" w:rsidR="007D1218" w:rsidRPr="00E518CA" w:rsidRDefault="007D1218" w:rsidP="008B45DA">
            <w:pPr>
              <w:rPr>
                <w:sz w:val="20"/>
                <w:szCs w:val="20"/>
                <w:lang w:eastAsia="en-GB"/>
              </w:rPr>
            </w:pPr>
          </w:p>
        </w:tc>
        <w:tc>
          <w:tcPr>
            <w:tcW w:w="2410" w:type="dxa"/>
            <w:tcBorders>
              <w:top w:val="nil"/>
              <w:bottom w:val="nil"/>
            </w:tcBorders>
          </w:tcPr>
          <w:p w14:paraId="54233BBA" w14:textId="77777777" w:rsidR="007D1218" w:rsidRPr="00E518CA" w:rsidRDefault="007D1218" w:rsidP="008B45DA">
            <w:pPr>
              <w:rPr>
                <w:sz w:val="20"/>
                <w:szCs w:val="20"/>
                <w:lang w:eastAsia="en-GB"/>
              </w:rPr>
            </w:pPr>
            <w:r w:rsidRPr="00E518CA">
              <w:rPr>
                <w:sz w:val="20"/>
                <w:szCs w:val="20"/>
                <w:lang w:eastAsia="en-GB"/>
              </w:rPr>
              <w:t>Sludge Treatment</w:t>
            </w:r>
          </w:p>
        </w:tc>
        <w:tc>
          <w:tcPr>
            <w:tcW w:w="2552" w:type="dxa"/>
            <w:tcBorders>
              <w:top w:val="nil"/>
              <w:bottom w:val="nil"/>
            </w:tcBorders>
          </w:tcPr>
          <w:p w14:paraId="66B73C7D" w14:textId="77777777" w:rsidR="007D1218" w:rsidRPr="00E518CA" w:rsidRDefault="007D1218" w:rsidP="008B45DA">
            <w:pPr>
              <w:rPr>
                <w:sz w:val="20"/>
                <w:szCs w:val="20"/>
                <w:lang w:eastAsia="en-GB"/>
              </w:rPr>
            </w:pPr>
            <w:r w:rsidRPr="00E518CA">
              <w:rPr>
                <w:sz w:val="20"/>
                <w:szCs w:val="20"/>
                <w:lang w:eastAsia="en-GB"/>
              </w:rPr>
              <w:t>Sludge transport &amp; treatment</w:t>
            </w:r>
          </w:p>
        </w:tc>
        <w:tc>
          <w:tcPr>
            <w:tcW w:w="3118" w:type="dxa"/>
            <w:tcBorders>
              <w:top w:val="nil"/>
              <w:bottom w:val="nil"/>
            </w:tcBorders>
          </w:tcPr>
          <w:p w14:paraId="1E987329" w14:textId="77777777" w:rsidR="007D1218" w:rsidRPr="00E518CA" w:rsidRDefault="007D1218" w:rsidP="008B45DA">
            <w:pPr>
              <w:rPr>
                <w:sz w:val="20"/>
                <w:szCs w:val="20"/>
                <w:lang w:eastAsia="en-GB"/>
              </w:rPr>
            </w:pPr>
            <w:r w:rsidRPr="00E518CA">
              <w:rPr>
                <w:sz w:val="20"/>
                <w:szCs w:val="20"/>
                <w:lang w:eastAsia="en-GB"/>
              </w:rPr>
              <w:t>Transportation, treatment, power generation, storage</w:t>
            </w:r>
          </w:p>
        </w:tc>
      </w:tr>
      <w:tr w:rsidR="007D1218" w:rsidRPr="0091297D" w14:paraId="6657EC69" w14:textId="77777777" w:rsidTr="008B45DA">
        <w:trPr>
          <w:trHeight w:val="829"/>
        </w:trPr>
        <w:tc>
          <w:tcPr>
            <w:tcW w:w="1701" w:type="dxa"/>
            <w:vMerge/>
          </w:tcPr>
          <w:p w14:paraId="1DC203FF" w14:textId="77777777" w:rsidR="007D1218" w:rsidRPr="00E518CA" w:rsidRDefault="007D1218" w:rsidP="008B45DA">
            <w:pPr>
              <w:rPr>
                <w:sz w:val="20"/>
                <w:szCs w:val="20"/>
                <w:lang w:eastAsia="en-GB"/>
              </w:rPr>
            </w:pPr>
          </w:p>
        </w:tc>
        <w:tc>
          <w:tcPr>
            <w:tcW w:w="2410" w:type="dxa"/>
            <w:tcBorders>
              <w:top w:val="nil"/>
              <w:bottom w:val="single" w:sz="4" w:space="0" w:color="auto"/>
            </w:tcBorders>
          </w:tcPr>
          <w:p w14:paraId="37200250" w14:textId="77777777" w:rsidR="007D1218" w:rsidRPr="00E518CA" w:rsidRDefault="007D1218" w:rsidP="008B45DA">
            <w:pPr>
              <w:rPr>
                <w:sz w:val="20"/>
                <w:szCs w:val="20"/>
                <w:lang w:eastAsia="en-GB"/>
              </w:rPr>
            </w:pPr>
            <w:r w:rsidRPr="00E518CA">
              <w:rPr>
                <w:sz w:val="20"/>
                <w:szCs w:val="20"/>
                <w:lang w:eastAsia="en-GB"/>
              </w:rPr>
              <w:t>Sludge Disposal</w:t>
            </w:r>
          </w:p>
        </w:tc>
        <w:tc>
          <w:tcPr>
            <w:tcW w:w="2552" w:type="dxa"/>
            <w:tcBorders>
              <w:top w:val="nil"/>
              <w:bottom w:val="single" w:sz="4" w:space="0" w:color="auto"/>
            </w:tcBorders>
          </w:tcPr>
          <w:p w14:paraId="62058523" w14:textId="77777777" w:rsidR="007D1218" w:rsidRPr="00E518CA" w:rsidRDefault="007D1218" w:rsidP="008B45DA">
            <w:pPr>
              <w:rPr>
                <w:sz w:val="20"/>
                <w:szCs w:val="20"/>
                <w:lang w:eastAsia="en-GB"/>
              </w:rPr>
            </w:pPr>
            <w:r w:rsidRPr="00E518CA">
              <w:rPr>
                <w:sz w:val="20"/>
                <w:szCs w:val="20"/>
                <w:lang w:eastAsia="en-GB"/>
              </w:rPr>
              <w:t>Sludge disposal and recycling</w:t>
            </w:r>
          </w:p>
        </w:tc>
        <w:tc>
          <w:tcPr>
            <w:tcW w:w="3118" w:type="dxa"/>
            <w:tcBorders>
              <w:top w:val="nil"/>
              <w:bottom w:val="single" w:sz="4" w:space="0" w:color="auto"/>
            </w:tcBorders>
          </w:tcPr>
          <w:p w14:paraId="08D173E6" w14:textId="77777777" w:rsidR="007D1218" w:rsidRPr="00E518CA" w:rsidRDefault="007D1218" w:rsidP="008B45DA">
            <w:pPr>
              <w:rPr>
                <w:sz w:val="20"/>
                <w:szCs w:val="20"/>
                <w:lang w:eastAsia="en-GB"/>
              </w:rPr>
            </w:pPr>
            <w:r w:rsidRPr="00E518CA">
              <w:rPr>
                <w:sz w:val="20"/>
                <w:szCs w:val="20"/>
                <w:lang w:eastAsia="en-GB"/>
              </w:rPr>
              <w:t>Transportation, testing, landfill cost management</w:t>
            </w:r>
          </w:p>
        </w:tc>
      </w:tr>
    </w:tbl>
    <w:p w14:paraId="56155847" w14:textId="77777777" w:rsidR="007D1218" w:rsidRDefault="007D1218" w:rsidP="007D1218">
      <w:pPr>
        <w:rPr>
          <w:highlight w:val="yellow"/>
        </w:rPr>
      </w:pPr>
    </w:p>
    <w:p w14:paraId="0BE8775C" w14:textId="77777777" w:rsidR="007D1218" w:rsidRDefault="007D1218" w:rsidP="007D1218">
      <w:pPr>
        <w:pStyle w:val="Pa2"/>
        <w:rPr>
          <w:rFonts w:cs="Calibre Bold"/>
          <w:color w:val="000000"/>
          <w:sz w:val="18"/>
          <w:szCs w:val="18"/>
        </w:rPr>
      </w:pPr>
      <w:r>
        <w:rPr>
          <w:rFonts w:cs="Calibre Bold"/>
          <w:b/>
          <w:bCs/>
          <w:color w:val="000000"/>
          <w:sz w:val="18"/>
          <w:szCs w:val="18"/>
        </w:rPr>
        <w:t>Non-Household market</w:t>
      </w:r>
    </w:p>
    <w:p w14:paraId="7037B68C" w14:textId="77777777" w:rsidR="007D1218" w:rsidRPr="0091297D" w:rsidRDefault="007D1218" w:rsidP="007D1218">
      <w:pPr>
        <w:rPr>
          <w:sz w:val="18"/>
          <w:szCs w:val="18"/>
          <w:highlight w:val="yellow"/>
        </w:rPr>
      </w:pPr>
      <w:proofErr w:type="gramStart"/>
      <w:r>
        <w:rPr>
          <w:rFonts w:ascii="Calibre Light" w:hAnsi="Calibre Light" w:cs="Calibre Light"/>
          <w:color w:val="000000"/>
          <w:sz w:val="18"/>
          <w:szCs w:val="18"/>
        </w:rPr>
        <w:t>South West</w:t>
      </w:r>
      <w:proofErr w:type="gramEnd"/>
      <w:r>
        <w:rPr>
          <w:rFonts w:ascii="Calibre Light" w:hAnsi="Calibre Light" w:cs="Calibre Light"/>
          <w:color w:val="000000"/>
          <w:sz w:val="18"/>
          <w:szCs w:val="18"/>
        </w:rPr>
        <w:t xml:space="preserve"> Water exited the Non-household retail market on 1 April 2017. Following this date there are no associated retail costs in the non-household price control, these are now all showing within Wholesale.</w:t>
      </w:r>
    </w:p>
    <w:p w14:paraId="2463068E" w14:textId="77777777" w:rsidR="007D1218" w:rsidRPr="0091297D" w:rsidRDefault="007D1218" w:rsidP="007D1218">
      <w:pPr>
        <w:rPr>
          <w:b/>
          <w:highlight w:val="yellow"/>
        </w:rPr>
      </w:pPr>
    </w:p>
    <w:p w14:paraId="05FF4C6F" w14:textId="77777777" w:rsidR="007D1218" w:rsidRPr="0091297D" w:rsidRDefault="007D1218" w:rsidP="007D1218">
      <w:pPr>
        <w:rPr>
          <w:b/>
          <w:highlight w:val="yellow"/>
        </w:rPr>
      </w:pPr>
    </w:p>
    <w:p w14:paraId="2E23DF72" w14:textId="77777777" w:rsidR="007D1218" w:rsidRPr="0091297D" w:rsidRDefault="007D1218" w:rsidP="007D1218">
      <w:pPr>
        <w:rPr>
          <w:b/>
          <w:highlight w:val="yellow"/>
        </w:rPr>
      </w:pPr>
    </w:p>
    <w:p w14:paraId="313FD6D5" w14:textId="77777777" w:rsidR="007D1218" w:rsidRPr="0091297D" w:rsidRDefault="007D1218" w:rsidP="007D1218">
      <w:pPr>
        <w:rPr>
          <w:b/>
          <w:highlight w:val="yellow"/>
        </w:rPr>
      </w:pPr>
    </w:p>
    <w:p w14:paraId="7921689D" w14:textId="77777777" w:rsidR="007D1218" w:rsidRPr="0091297D" w:rsidRDefault="007D1218" w:rsidP="007D1218">
      <w:pPr>
        <w:rPr>
          <w:b/>
          <w:highlight w:val="yellow"/>
        </w:rPr>
      </w:pPr>
    </w:p>
    <w:p w14:paraId="00B7B951" w14:textId="77777777" w:rsidR="007D1218" w:rsidRPr="00E518CA" w:rsidRDefault="007D1218" w:rsidP="00DB4B44">
      <w:pPr>
        <w:pStyle w:val="Heading1"/>
      </w:pPr>
      <w:bookmarkStart w:id="46" w:name="_Toc356995427"/>
      <w:bookmarkStart w:id="47" w:name="_Toc356995524"/>
      <w:bookmarkStart w:id="48" w:name="_Toc172019359"/>
      <w:r w:rsidRPr="00E518CA">
        <w:lastRenderedPageBreak/>
        <w:t xml:space="preserve">APPENDIX </w:t>
      </w:r>
      <w:bookmarkStart w:id="49" w:name="_Toc356995428"/>
      <w:bookmarkStart w:id="50" w:name="_Toc356995525"/>
      <w:bookmarkEnd w:id="46"/>
      <w:bookmarkEnd w:id="47"/>
      <w:r w:rsidRPr="00E518CA">
        <w:t>B:</w:t>
      </w:r>
      <w:bookmarkEnd w:id="48"/>
    </w:p>
    <w:p w14:paraId="234D1844" w14:textId="77777777" w:rsidR="007D1218" w:rsidRPr="00E518CA" w:rsidRDefault="007D1218" w:rsidP="00DB4B44">
      <w:pPr>
        <w:pStyle w:val="Heading1"/>
      </w:pPr>
      <w:bookmarkStart w:id="51" w:name="_Toc172019360"/>
      <w:r w:rsidRPr="00E518CA">
        <w:t>GENERAL LEDGER REPORTING STRUCTURE</w:t>
      </w:r>
      <w:bookmarkEnd w:id="49"/>
      <w:bookmarkEnd w:id="50"/>
      <w:bookmarkEnd w:id="51"/>
    </w:p>
    <w:p w14:paraId="5FA8B940" w14:textId="77777777" w:rsidR="007D1218" w:rsidRPr="00E518CA" w:rsidRDefault="007D1218" w:rsidP="007D1218">
      <w:pPr>
        <w:rPr>
          <w:rFonts w:cs="Arial"/>
        </w:rPr>
      </w:pPr>
      <w:r w:rsidRPr="00E518CA">
        <w:rPr>
          <w:rFonts w:cs="Arial"/>
        </w:rPr>
        <w:t xml:space="preserve">South West Water </w:t>
      </w:r>
      <w:r w:rsidRPr="00E518CA">
        <w:t>has separate reporting structures used for P&amp;L, Capital and Balance sheet enabling income and costs to be collected in a defined format.</w:t>
      </w:r>
    </w:p>
    <w:p w14:paraId="66D7BBB4" w14:textId="77777777" w:rsidR="007D1218" w:rsidRPr="00E518CA" w:rsidRDefault="007D1218" w:rsidP="007D1218">
      <w:pPr>
        <w:rPr>
          <w:rFonts w:cs="Arial"/>
        </w:rPr>
      </w:pPr>
    </w:p>
    <w:p w14:paraId="7D48DCAD" w14:textId="77777777" w:rsidR="007D1218" w:rsidRPr="00E518CA" w:rsidRDefault="007D1218" w:rsidP="007D1218">
      <w:pPr>
        <w:rPr>
          <w:rFonts w:cs="Arial"/>
          <w:i/>
        </w:rPr>
      </w:pPr>
      <w:r w:rsidRPr="00E518CA">
        <w:rPr>
          <w:rFonts w:cs="Arial"/>
          <w:i/>
        </w:rPr>
        <w:t>Profit and Loss</w:t>
      </w:r>
    </w:p>
    <w:p w14:paraId="6F46D573" w14:textId="77777777" w:rsidR="007D1218" w:rsidRPr="00E518CA" w:rsidRDefault="007D1218" w:rsidP="007D1218">
      <w:pPr>
        <w:rPr>
          <w:rFonts w:cs="Arial"/>
        </w:rPr>
      </w:pPr>
    </w:p>
    <w:p w14:paraId="0B779FAE" w14:textId="77777777" w:rsidR="007D1218" w:rsidRPr="00E518CA" w:rsidRDefault="007D1218" w:rsidP="007D1218">
      <w:pPr>
        <w:rPr>
          <w:rFonts w:cs="Arial"/>
        </w:rPr>
      </w:pPr>
      <w:r w:rsidRPr="00E518CA">
        <w:rPr>
          <w:rFonts w:cs="Arial"/>
        </w:rPr>
        <w:t>Profit and loss general ledger coding structure comprises of 15 alpha or numeric digits split into 4 segments (as detailed below) and was specifically developed to support reporting by business area and activity.</w:t>
      </w:r>
    </w:p>
    <w:p w14:paraId="07359647" w14:textId="47A24E50" w:rsidR="007D1218" w:rsidRPr="00E518CA" w:rsidRDefault="007D1218" w:rsidP="007D1218">
      <w:pPr>
        <w:ind w:firstLine="360"/>
        <w:rPr>
          <w:rFonts w:cs="Arial"/>
        </w:rPr>
      </w:pPr>
      <w:r w:rsidRPr="00E518CA">
        <w:rPr>
          <w:rFonts w:cs="Arial"/>
        </w:rPr>
        <w:tab/>
      </w:r>
      <w:r w:rsidRPr="00E518CA">
        <w:rPr>
          <w:rFonts w:cs="Arial"/>
        </w:rPr>
        <w:tab/>
      </w:r>
      <w:r w:rsidRPr="00E518CA">
        <w:rPr>
          <w:rFonts w:cs="Arial"/>
        </w:rPr>
        <w:tab/>
      </w:r>
      <w:r w:rsidRPr="00E518CA">
        <w:rPr>
          <w:rFonts w:cs="Arial"/>
        </w:rPr>
        <w:tab/>
      </w:r>
      <w:r w:rsidRPr="00E518CA">
        <w:rPr>
          <w:rFonts w:cs="Arial"/>
          <w:b/>
          <w:color w:val="525252" w:themeColor="accent3" w:themeShade="80"/>
        </w:rPr>
        <w:t>Process Code</w:t>
      </w:r>
      <w:r w:rsidRPr="00E518CA">
        <w:rPr>
          <w:rFonts w:cs="Arial"/>
          <w:b/>
          <w:color w:val="7B7B7B" w:themeColor="accent3" w:themeShade="BF"/>
        </w:rPr>
        <w:tab/>
      </w:r>
      <w:r w:rsidRPr="00E518CA">
        <w:rPr>
          <w:rFonts w:cs="Arial"/>
          <w:b/>
          <w:color w:val="7B7B7B" w:themeColor="accent3" w:themeShade="BF"/>
        </w:rPr>
        <w:tab/>
      </w:r>
      <w:r w:rsidRPr="00E518CA">
        <w:rPr>
          <w:rFonts w:cs="Arial"/>
          <w:b/>
          <w:color w:val="BF8F00" w:themeColor="accent4" w:themeShade="BF"/>
        </w:rPr>
        <w:t>Activity Code</w:t>
      </w:r>
    </w:p>
    <w:p w14:paraId="2DD2E0E2" w14:textId="70CD2B99" w:rsidR="007D1218" w:rsidRPr="00E518CA" w:rsidRDefault="00BA51E2" w:rsidP="007D1218">
      <w:pPr>
        <w:ind w:firstLine="360"/>
        <w:rPr>
          <w:rFonts w:cs="Arial"/>
        </w:rPr>
      </w:pPr>
      <w:r>
        <w:rPr>
          <w:rFonts w:cs="Arial"/>
          <w:b/>
          <w:noProof/>
          <w:lang w:eastAsia="en-GB"/>
        </w:rPr>
        <mc:AlternateContent>
          <mc:Choice Requires="wps">
            <w:drawing>
              <wp:anchor distT="0" distB="0" distL="114300" distR="114300" simplePos="0" relativeHeight="251662336" behindDoc="0" locked="0" layoutInCell="1" allowOverlap="0" wp14:anchorId="164F5A0A" wp14:editId="0D86DDF9">
                <wp:simplePos x="0" y="0"/>
                <wp:positionH relativeFrom="column">
                  <wp:posOffset>3129052</wp:posOffset>
                </wp:positionH>
                <wp:positionV relativeFrom="page">
                  <wp:posOffset>3936187</wp:posOffset>
                </wp:positionV>
                <wp:extent cx="313690" cy="373380"/>
                <wp:effectExtent l="38100" t="0" r="29210" b="6477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690" cy="373380"/>
                        </a:xfrm>
                        <a:prstGeom prst="straightConnector1">
                          <a:avLst/>
                        </a:prstGeom>
                        <a:noFill/>
                        <a:ln w="12700">
                          <a:solidFill>
                            <a:schemeClr val="accent4">
                              <a:lumMod val="75000"/>
                              <a:lumOff val="0"/>
                            </a:schemeClr>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24C426B" id="_x0000_t32" coordsize="21600,21600" o:spt="32" o:oned="t" path="m,l21600,21600e" filled="f">
                <v:path arrowok="t" fillok="f" o:connecttype="none"/>
                <o:lock v:ext="edit" shapetype="t"/>
              </v:shapetype>
              <v:shape id="AutoShape 2" o:spid="_x0000_s1026" type="#_x0000_t32" style="position:absolute;margin-left:246.4pt;margin-top:309.95pt;width:24.7pt;height:29.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" o:allowoverlap="f" strokecolor="#bf8f00 [2407]" strokeweight="1pt">
                <v:stroke dashstyle="1 1" endarrow="block"/>
                <v:shadow color="black" opacity="49150f" offset=".74833mm,.74833mm"/>
                <w10:wrap anchory="page"/>
              </v:shape>
            </w:pict>
          </mc:Fallback>
        </mc:AlternateContent>
      </w:r>
      <w:r>
        <w:rPr>
          <w:rFonts w:cs="Arial"/>
          <w:b/>
          <w:noProof/>
          <w:lang w:eastAsia="en-GB"/>
        </w:rPr>
        <mc:AlternateContent>
          <mc:Choice Requires="wps">
            <w:drawing>
              <wp:anchor distT="0" distB="0" distL="114300" distR="114300" simplePos="0" relativeHeight="251663360" behindDoc="0" locked="0" layoutInCell="1" allowOverlap="0" wp14:anchorId="059CD46B" wp14:editId="6B6A8C20">
                <wp:simplePos x="0" y="0"/>
                <wp:positionH relativeFrom="column">
                  <wp:posOffset>2260067</wp:posOffset>
                </wp:positionH>
                <wp:positionV relativeFrom="page">
                  <wp:posOffset>3874313</wp:posOffset>
                </wp:positionV>
                <wp:extent cx="381635" cy="480060"/>
                <wp:effectExtent l="0" t="0" r="75565" b="53340"/>
                <wp:wrapNone/>
                <wp:docPr id="3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480060"/>
                        </a:xfrm>
                        <a:prstGeom prst="straightConnector1">
                          <a:avLst/>
                        </a:prstGeom>
                        <a:noFill/>
                        <a:ln w="12700">
                          <a:solidFill>
                            <a:schemeClr val="accent3">
                              <a:lumMod val="75000"/>
                              <a:lumOff val="0"/>
                            </a:schemeClr>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FA14FE" id="AutoShape 3" o:spid="_x0000_s1026" type="#_x0000_t32" style="position:absolute;margin-left:177.95pt;margin-top:305.05pt;width:30.05pt;height:3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" o:allowoverlap="f" strokecolor="#7b7b7b [2406]" strokeweight="1pt">
                <v:stroke dashstyle="1 1" endarrow="block"/>
                <v:shadow color="black" opacity="49150f" offset=".74833mm,.74833mm"/>
                <w10:wrap anchory="page"/>
              </v:shape>
            </w:pict>
          </mc:Fallback>
        </mc:AlternateContent>
      </w:r>
    </w:p>
    <w:p w14:paraId="0E0A15B2" w14:textId="77777777" w:rsidR="007D1218" w:rsidRPr="00E518CA" w:rsidRDefault="007D1218" w:rsidP="007D1218">
      <w:pPr>
        <w:ind w:firstLine="360"/>
        <w:rPr>
          <w:rFonts w:cs="Arial"/>
        </w:rPr>
      </w:pPr>
    </w:p>
    <w:p w14:paraId="33EF0E1A" w14:textId="44044BC0" w:rsidR="007D1218" w:rsidRPr="00E518CA" w:rsidRDefault="007D1218" w:rsidP="007D1218">
      <w:pPr>
        <w:ind w:left="720" w:firstLine="720"/>
        <w:rPr>
          <w:rFonts w:cs="Arial"/>
          <w:b/>
        </w:rPr>
      </w:pPr>
      <w:r>
        <w:rPr>
          <w:rFonts w:cs="Arial"/>
          <w:b/>
          <w:noProof/>
          <w:lang w:eastAsia="en-GB"/>
        </w:rPr>
        <mc:AlternateContent>
          <mc:Choice Requires="wps">
            <w:drawing>
              <wp:anchor distT="0" distB="0" distL="114300" distR="114300" simplePos="0" relativeHeight="251664384" behindDoc="0" locked="0" layoutInCell="1" allowOverlap="0" wp14:anchorId="4CCA1AFA" wp14:editId="3106FC98">
                <wp:simplePos x="0" y="0"/>
                <wp:positionH relativeFrom="column">
                  <wp:posOffset>3540582</wp:posOffset>
                </wp:positionH>
                <wp:positionV relativeFrom="page">
                  <wp:posOffset>4695140</wp:posOffset>
                </wp:positionV>
                <wp:extent cx="518160" cy="403860"/>
                <wp:effectExtent l="38100" t="38100" r="34290" b="3429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8160" cy="403860"/>
                        </a:xfrm>
                        <a:prstGeom prst="straightConnector1">
                          <a:avLst/>
                        </a:prstGeom>
                        <a:noFill/>
                        <a:ln w="12700">
                          <a:solidFill>
                            <a:schemeClr val="accent6">
                              <a:lumMod val="75000"/>
                              <a:lumOff val="0"/>
                            </a:schemeClr>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155581" id="AutoShape 8" o:spid="_x0000_s1026" type="#_x0000_t32" style="position:absolute;margin-left:278.8pt;margin-top:369.7pt;width:40.8pt;height:31.8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" o:allowoverlap="f" strokecolor="#538135 [2409]" strokeweight="1pt">
                <v:stroke dashstyle="1 1" endarrow="block"/>
                <v:shadow color="black" opacity="49150f" offset=".74833mm,.74833mm"/>
                <w10:wrap anchory="page"/>
              </v:shape>
            </w:pict>
          </mc:Fallback>
        </mc:AlternateContent>
      </w:r>
      <w:r w:rsidRPr="00E518CA">
        <w:rPr>
          <w:rFonts w:cs="Arial"/>
        </w:rPr>
        <w:t>Example GL Code:</w:t>
      </w:r>
      <w:r w:rsidRPr="00E518CA">
        <w:rPr>
          <w:rFonts w:cs="Arial"/>
          <w:b/>
        </w:rPr>
        <w:tab/>
        <w:t>J</w:t>
      </w:r>
      <w:proofErr w:type="gramStart"/>
      <w:r w:rsidRPr="00E518CA">
        <w:rPr>
          <w:rFonts w:cs="Arial"/>
          <w:b/>
        </w:rPr>
        <w:t>4100  J</w:t>
      </w:r>
      <w:proofErr w:type="gramEnd"/>
      <w:r w:rsidRPr="00E518CA">
        <w:rPr>
          <w:rFonts w:cs="Arial"/>
          <w:b/>
        </w:rPr>
        <w:t>40  C01  1101</w:t>
      </w:r>
    </w:p>
    <w:p w14:paraId="74FCDD60" w14:textId="73DAEEC5" w:rsidR="007D1218" w:rsidRPr="00E518CA" w:rsidRDefault="00BA51E2" w:rsidP="007D1218">
      <w:pPr>
        <w:rPr>
          <w:rFonts w:cs="Arial"/>
          <w:b/>
        </w:rPr>
      </w:pPr>
      <w:r>
        <w:rPr>
          <w:rFonts w:cs="Arial"/>
          <w:b/>
          <w:noProof/>
          <w:lang w:eastAsia="en-GB"/>
        </w:rPr>
        <mc:AlternateContent>
          <mc:Choice Requires="wps">
            <w:drawing>
              <wp:anchor distT="0" distB="0" distL="114300" distR="114300" simplePos="0" relativeHeight="251665408" behindDoc="0" locked="0" layoutInCell="1" allowOverlap="0" wp14:anchorId="5D18FD71" wp14:editId="0CD118E1">
                <wp:simplePos x="0" y="0"/>
                <wp:positionH relativeFrom="column">
                  <wp:posOffset>2292426</wp:posOffset>
                </wp:positionH>
                <wp:positionV relativeFrom="page">
                  <wp:posOffset>4774692</wp:posOffset>
                </wp:positionV>
                <wp:extent cx="198120" cy="327660"/>
                <wp:effectExtent l="0" t="38100" r="49530" b="1524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 cy="327660"/>
                        </a:xfrm>
                        <a:prstGeom prst="straightConnector1">
                          <a:avLst/>
                        </a:prstGeom>
                        <a:noFill/>
                        <a:ln w="12700">
                          <a:solidFill>
                            <a:schemeClr val="tx2">
                              <a:lumMod val="60000"/>
                              <a:lumOff val="40000"/>
                            </a:schemeClr>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C69355" id="AutoShape 9" o:spid="_x0000_s1026" type="#_x0000_t32" style="position:absolute;margin-left:180.5pt;margin-top:375.95pt;width:15.6pt;height:25.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" o:allowoverlap="f" strokecolor="#8496b0 [1951]" strokeweight="1pt">
                <v:stroke dashstyle="1 1" endarrow="block"/>
                <v:shadow color="black" opacity="49150f" offset=".74833mm,.74833mm"/>
                <w10:wrap anchory="page"/>
              </v:shape>
            </w:pict>
          </mc:Fallback>
        </mc:AlternateContent>
      </w:r>
    </w:p>
    <w:p w14:paraId="23C5953A" w14:textId="77777777" w:rsidR="007D1218" w:rsidRPr="00E518CA" w:rsidRDefault="007D1218" w:rsidP="007D1218">
      <w:pPr>
        <w:rPr>
          <w:rFonts w:cs="Arial"/>
          <w:b/>
        </w:rPr>
      </w:pPr>
      <w:r>
        <w:rPr>
          <w:rFonts w:cs="Arial"/>
          <w:b/>
          <w:noProof/>
          <w:lang w:eastAsia="en-GB"/>
        </w:rPr>
        <mc:AlternateContent>
          <mc:Choice Requires="wps">
            <w:drawing>
              <wp:anchor distT="0" distB="0" distL="114300" distR="114300" simplePos="0" relativeHeight="251666432" behindDoc="0" locked="0" layoutInCell="1" allowOverlap="0" wp14:anchorId="2F6E9116" wp14:editId="3FC0C1D3">
                <wp:simplePos x="0" y="0"/>
                <wp:positionH relativeFrom="column">
                  <wp:posOffset>5634990</wp:posOffset>
                </wp:positionH>
                <wp:positionV relativeFrom="page">
                  <wp:posOffset>5143500</wp:posOffset>
                </wp:positionV>
                <wp:extent cx="720090" cy="28575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28575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E79F44" id="AutoShape 10" o:spid="_x0000_s1026" type="#_x0000_t32" style="position:absolute;margin-left:443.7pt;margin-top:405pt;width:56.7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" o:allowoverlap="f" stroked="f">
                <v:stroke endarrow="block"/>
                <w10:wrap anchory="page"/>
              </v:shape>
            </w:pict>
          </mc:Fallback>
        </mc:AlternateContent>
      </w:r>
    </w:p>
    <w:p w14:paraId="6DFA9487" w14:textId="77777777" w:rsidR="007D1218" w:rsidRPr="00E518CA" w:rsidRDefault="007D1218" w:rsidP="007D1218">
      <w:pPr>
        <w:ind w:left="2160" w:firstLine="720"/>
        <w:rPr>
          <w:rFonts w:cs="Arial"/>
          <w:b/>
          <w:color w:val="538135" w:themeColor="accent6" w:themeShade="BF"/>
        </w:rPr>
      </w:pPr>
      <w:r w:rsidRPr="00E518CA">
        <w:rPr>
          <w:rFonts w:cs="Arial"/>
          <w:b/>
          <w:color w:val="323E4F" w:themeColor="text2" w:themeShade="BF"/>
        </w:rPr>
        <w:t>Cost Centre</w:t>
      </w:r>
      <w:r w:rsidRPr="00E518CA">
        <w:rPr>
          <w:rFonts w:cs="Arial"/>
          <w:b/>
          <w:color w:val="323E4F" w:themeColor="text2" w:themeShade="BF"/>
        </w:rPr>
        <w:tab/>
      </w:r>
      <w:r w:rsidRPr="00E518CA">
        <w:rPr>
          <w:rFonts w:cs="Arial"/>
          <w:b/>
        </w:rPr>
        <w:tab/>
      </w:r>
      <w:r w:rsidRPr="00E518CA">
        <w:rPr>
          <w:rFonts w:cs="Arial"/>
          <w:b/>
        </w:rPr>
        <w:tab/>
      </w:r>
      <w:r w:rsidRPr="00E518CA">
        <w:rPr>
          <w:rFonts w:cs="Arial"/>
          <w:b/>
          <w:color w:val="538135" w:themeColor="accent6" w:themeShade="BF"/>
        </w:rPr>
        <w:t>Expense Code</w:t>
      </w:r>
      <w:r w:rsidRPr="00E518CA">
        <w:rPr>
          <w:rFonts w:cs="Arial"/>
          <w:b/>
          <w:color w:val="538135" w:themeColor="accent6" w:themeShade="BF"/>
        </w:rPr>
        <w:tab/>
      </w:r>
      <w:r w:rsidRPr="00E518CA">
        <w:rPr>
          <w:rFonts w:cs="Arial"/>
          <w:b/>
          <w:color w:val="538135" w:themeColor="accent6" w:themeShade="BF"/>
        </w:rPr>
        <w:tab/>
      </w:r>
      <w:r w:rsidRPr="00E518CA">
        <w:rPr>
          <w:rFonts w:cs="Arial"/>
          <w:b/>
          <w:color w:val="538135" w:themeColor="accent6" w:themeShade="BF"/>
        </w:rPr>
        <w:tab/>
      </w:r>
    </w:p>
    <w:p w14:paraId="412103AB" w14:textId="77777777" w:rsidR="007D1218" w:rsidRPr="00E518CA" w:rsidRDefault="007D1218" w:rsidP="007D1218">
      <w:pPr>
        <w:rPr>
          <w:rFonts w:cs="Arial"/>
          <w:b/>
          <w:color w:val="8496B0" w:themeColor="text2" w:themeTint="99"/>
        </w:rPr>
      </w:pPr>
    </w:p>
    <w:p w14:paraId="2A967E14" w14:textId="77777777" w:rsidR="007D1218" w:rsidRPr="00E518CA" w:rsidRDefault="007D1218" w:rsidP="007D1218">
      <w:pPr>
        <w:rPr>
          <w:rFonts w:cs="Arial"/>
        </w:rPr>
      </w:pPr>
      <w:r w:rsidRPr="00E518CA">
        <w:rPr>
          <w:rFonts w:cs="Arial"/>
          <w:b/>
          <w:color w:val="323E4F" w:themeColor="text2" w:themeShade="BF"/>
        </w:rPr>
        <w:t>Cost Centre</w:t>
      </w:r>
      <w:r w:rsidRPr="00E518CA">
        <w:rPr>
          <w:rFonts w:cs="Arial"/>
        </w:rPr>
        <w:t xml:space="preserve"> – This is used to assign costs to a specific cost centre </w:t>
      </w:r>
      <w:proofErr w:type="gramStart"/>
      <w:r w:rsidRPr="00E518CA">
        <w:rPr>
          <w:rFonts w:cs="Arial"/>
        </w:rPr>
        <w:t>i.e.</w:t>
      </w:r>
      <w:proofErr w:type="gramEnd"/>
      <w:r w:rsidRPr="00E518CA">
        <w:rPr>
          <w:rFonts w:cs="Arial"/>
        </w:rPr>
        <w:t xml:space="preserve"> Business Customers (in the case above), Pynes WTW, Personnel &amp; Payroll etc. The general ledger contains c.2,200 cost centres.</w:t>
      </w:r>
    </w:p>
    <w:p w14:paraId="6A6F9FA0" w14:textId="77777777" w:rsidR="007D1218" w:rsidRPr="00E518CA" w:rsidRDefault="007D1218" w:rsidP="007D1218">
      <w:pPr>
        <w:ind w:left="360"/>
        <w:rPr>
          <w:rFonts w:cs="Arial"/>
        </w:rPr>
      </w:pPr>
    </w:p>
    <w:p w14:paraId="574BBF93" w14:textId="77777777" w:rsidR="007D1218" w:rsidRPr="00E518CA" w:rsidRDefault="007D1218" w:rsidP="007D1218">
      <w:pPr>
        <w:rPr>
          <w:rFonts w:cs="Arial"/>
          <w:b/>
          <w:color w:val="BF8F00" w:themeColor="accent4" w:themeShade="BF"/>
        </w:rPr>
      </w:pPr>
      <w:r w:rsidRPr="00E518CA">
        <w:rPr>
          <w:rFonts w:cs="Arial"/>
          <w:b/>
          <w:color w:val="525252" w:themeColor="accent3" w:themeShade="80"/>
        </w:rPr>
        <w:t>Process Code</w:t>
      </w:r>
      <w:r w:rsidRPr="00E518CA">
        <w:rPr>
          <w:rFonts w:cs="Arial"/>
          <w:color w:val="525252" w:themeColor="accent3" w:themeShade="80"/>
        </w:rPr>
        <w:t xml:space="preserve"> </w:t>
      </w:r>
      <w:r w:rsidRPr="00E518CA">
        <w:rPr>
          <w:rFonts w:cs="Arial"/>
        </w:rPr>
        <w:t>– This segment was developed to support regulatory reporting and recording financial transactions by process. The segment is also used to categorise certain corporate support costs (</w:t>
      </w:r>
      <w:proofErr w:type="gramStart"/>
      <w:r w:rsidRPr="00E518CA">
        <w:rPr>
          <w:rFonts w:cs="Arial"/>
        </w:rPr>
        <w:t>i.e.</w:t>
      </w:r>
      <w:proofErr w:type="gramEnd"/>
      <w:r w:rsidRPr="00E518CA">
        <w:rPr>
          <w:rFonts w:cs="Arial"/>
        </w:rPr>
        <w:t xml:space="preserve"> to separate training team costs between different departments specifically allowing for non-appointed costs to be identified). Ellipse contains c.250 process codes.</w:t>
      </w:r>
    </w:p>
    <w:p w14:paraId="10014D50" w14:textId="77777777" w:rsidR="007D1218" w:rsidRPr="00E518CA" w:rsidRDefault="007D1218" w:rsidP="007D1218">
      <w:pPr>
        <w:rPr>
          <w:rFonts w:cs="Arial"/>
          <w:b/>
          <w:color w:val="BF8F00" w:themeColor="accent4" w:themeShade="BF"/>
        </w:rPr>
      </w:pPr>
    </w:p>
    <w:p w14:paraId="1CFFA08D" w14:textId="77777777" w:rsidR="007D1218" w:rsidRPr="00E518CA" w:rsidRDefault="007D1218" w:rsidP="007D1218">
      <w:pPr>
        <w:rPr>
          <w:rFonts w:cs="Arial"/>
        </w:rPr>
      </w:pPr>
      <w:r w:rsidRPr="00E518CA">
        <w:rPr>
          <w:rFonts w:cs="Arial"/>
          <w:b/>
          <w:color w:val="BF8F00" w:themeColor="accent4" w:themeShade="BF"/>
        </w:rPr>
        <w:t>Activity Code</w:t>
      </w:r>
      <w:r w:rsidRPr="00E518CA">
        <w:rPr>
          <w:rFonts w:cs="Arial"/>
        </w:rPr>
        <w:t xml:space="preserve"> – This segment is generally used to distinguish between direct operational activities (A01), maintenance activities (B01) and corporate and support activities (C01) for SWW equipment register. There are also a few inactive categories.</w:t>
      </w:r>
    </w:p>
    <w:p w14:paraId="15BEF454" w14:textId="77777777" w:rsidR="007D1218" w:rsidRPr="00E518CA" w:rsidRDefault="007D1218" w:rsidP="007D1218">
      <w:pPr>
        <w:ind w:left="360"/>
        <w:rPr>
          <w:rFonts w:cs="Arial"/>
          <w:b/>
          <w:color w:val="538135" w:themeColor="accent6" w:themeShade="BF"/>
        </w:rPr>
      </w:pPr>
    </w:p>
    <w:p w14:paraId="59AFE958" w14:textId="77777777" w:rsidR="007D1218" w:rsidRPr="00E518CA" w:rsidRDefault="007D1218" w:rsidP="007D1218">
      <w:pPr>
        <w:rPr>
          <w:rFonts w:cs="Arial"/>
        </w:rPr>
      </w:pPr>
      <w:r w:rsidRPr="00E518CA">
        <w:rPr>
          <w:rFonts w:cs="Arial"/>
          <w:b/>
          <w:color w:val="538135" w:themeColor="accent6" w:themeShade="BF"/>
        </w:rPr>
        <w:t>Expense element</w:t>
      </w:r>
      <w:r w:rsidRPr="00E518CA">
        <w:rPr>
          <w:rFonts w:cs="Arial"/>
        </w:rPr>
        <w:t xml:space="preserve"> – The final four numeric digits details the specific expense category that a cost relates too </w:t>
      </w:r>
      <w:proofErr w:type="gramStart"/>
      <w:r w:rsidRPr="00E518CA">
        <w:rPr>
          <w:rFonts w:cs="Arial"/>
        </w:rPr>
        <w:t>i.e.</w:t>
      </w:r>
      <w:proofErr w:type="gramEnd"/>
      <w:r w:rsidRPr="00E518CA">
        <w:rPr>
          <w:rFonts w:cs="Arial"/>
        </w:rPr>
        <w:t xml:space="preserve"> salaries, software, restaurant overhead costed in, power etc. Ellipse contains c.500 expense lines.</w:t>
      </w:r>
    </w:p>
    <w:p w14:paraId="4C97C2F7" w14:textId="77777777" w:rsidR="007D1218" w:rsidRPr="00E518CA" w:rsidRDefault="007D1218" w:rsidP="007D1218">
      <w:pPr>
        <w:rPr>
          <w:b/>
        </w:rPr>
      </w:pPr>
    </w:p>
    <w:p w14:paraId="751F4A14" w14:textId="77777777" w:rsidR="007D1218" w:rsidRPr="00E518CA" w:rsidRDefault="007D1218" w:rsidP="007D1218">
      <w:bookmarkStart w:id="52" w:name="_Toc356995436"/>
      <w:bookmarkStart w:id="53" w:name="_Toc356995533"/>
      <w:r w:rsidRPr="00E518CA">
        <w:lastRenderedPageBreak/>
        <w:t>The P&amp;L structure is arranged in a hierarchical way so that costs relating to a particular service or support function are grouped together enabling reports to be produced for that area of the business.</w:t>
      </w:r>
      <w:bookmarkEnd w:id="52"/>
      <w:bookmarkEnd w:id="53"/>
      <w:r w:rsidRPr="00E518CA">
        <w:t xml:space="preserve"> This is also known as the subjective analysis.</w:t>
      </w:r>
    </w:p>
    <w:p w14:paraId="4C69E4FD" w14:textId="77777777" w:rsidR="007D1218" w:rsidRPr="00E518CA" w:rsidRDefault="007D1218" w:rsidP="007D1218">
      <w:pPr>
        <w:rPr>
          <w:b/>
        </w:rPr>
      </w:pPr>
    </w:p>
    <w:p w14:paraId="1582A457" w14:textId="77777777" w:rsidR="007D1218" w:rsidRPr="00E518CA" w:rsidRDefault="007D1218" w:rsidP="007D1218">
      <w:pPr>
        <w:rPr>
          <w:i/>
        </w:rPr>
      </w:pPr>
      <w:r w:rsidRPr="00E518CA">
        <w:rPr>
          <w:i/>
        </w:rPr>
        <w:t>Capital Expenditure</w:t>
      </w:r>
    </w:p>
    <w:p w14:paraId="4FE75CB2" w14:textId="77777777" w:rsidR="007D1218" w:rsidRPr="00E518CA" w:rsidRDefault="007D1218" w:rsidP="007D1218">
      <w:pPr>
        <w:rPr>
          <w:b/>
        </w:rPr>
      </w:pPr>
    </w:p>
    <w:p w14:paraId="79DBF041" w14:textId="77777777" w:rsidR="007D1218" w:rsidRDefault="007D1218" w:rsidP="007D1218">
      <w:pPr>
        <w:pStyle w:val="AMP4NORMAL"/>
        <w:rPr>
          <w:rFonts w:asciiTheme="minorHAnsi" w:hAnsiTheme="minorHAnsi"/>
          <w:sz w:val="22"/>
          <w:szCs w:val="22"/>
        </w:rPr>
      </w:pPr>
      <w:bookmarkStart w:id="54" w:name="_Toc356995435"/>
      <w:bookmarkStart w:id="55" w:name="_Toc356995532"/>
      <w:r w:rsidRPr="00E518CA">
        <w:rPr>
          <w:rFonts w:asciiTheme="minorHAnsi" w:hAnsiTheme="minorHAnsi"/>
          <w:sz w:val="22"/>
          <w:szCs w:val="22"/>
        </w:rPr>
        <w:t>The regulatory capital expenditure analysis is done at project level, through the project modules of Ellipse</w:t>
      </w:r>
      <w:bookmarkEnd w:id="54"/>
      <w:bookmarkEnd w:id="55"/>
      <w:r w:rsidRPr="00E518CA">
        <w:rPr>
          <w:rFonts w:asciiTheme="minorHAnsi" w:hAnsiTheme="minorHAnsi"/>
          <w:sz w:val="22"/>
          <w:szCs w:val="22"/>
        </w:rPr>
        <w:t>.</w:t>
      </w:r>
    </w:p>
    <w:p w14:paraId="12B5F593" w14:textId="7E374042" w:rsidR="00540ED1" w:rsidRPr="0052164D" w:rsidRDefault="00540ED1"/>
    <w:sectPr w:rsidR="00540ED1" w:rsidRPr="0052164D" w:rsidSect="00435FF5">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C2215" w14:textId="77777777" w:rsidR="00357EFC" w:rsidRDefault="00357EFC" w:rsidP="00993447">
      <w:pPr>
        <w:spacing w:after="0" w:line="240" w:lineRule="auto"/>
      </w:pPr>
      <w:r>
        <w:separator/>
      </w:r>
    </w:p>
  </w:endnote>
  <w:endnote w:type="continuationSeparator" w:id="0">
    <w:p w14:paraId="0A53CE5A" w14:textId="77777777" w:rsidR="00357EFC" w:rsidRDefault="00357EFC" w:rsidP="00993447">
      <w:pPr>
        <w:spacing w:after="0" w:line="240" w:lineRule="auto"/>
      </w:pPr>
      <w:r>
        <w:continuationSeparator/>
      </w:r>
    </w:p>
  </w:endnote>
  <w:endnote w:type="continuationNotice" w:id="1">
    <w:p w14:paraId="0628FA2C" w14:textId="77777777" w:rsidR="00357EFC" w:rsidRDefault="00357E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li">
    <w:altName w:val="Calibri"/>
    <w:charset w:val="00"/>
    <w:family w:val="auto"/>
    <w:pitch w:val="variable"/>
    <w:sig w:usb0="20000007" w:usb1="00000001" w:usb2="00000000" w:usb3="00000000" w:csb0="00000193" w:csb1="00000000"/>
  </w:font>
  <w:font w:name="Calibre Light">
    <w:altName w:val="Calibri"/>
    <w:panose1 w:val="020B0303030202060203"/>
    <w:charset w:val="00"/>
    <w:family w:val="swiss"/>
    <w:notTrueType/>
    <w:pitch w:val="variable"/>
    <w:sig w:usb0="00000007" w:usb1="00000000" w:usb2="00000000" w:usb3="00000000" w:csb0="00000093" w:csb1="00000000"/>
  </w:font>
  <w:font w:name="Jacobs Chronos">
    <w:altName w:val="Calibri"/>
    <w:charset w:val="00"/>
    <w:family w:val="swiss"/>
    <w:pitch w:val="variable"/>
    <w:sig w:usb0="A00000EF" w:usb1="0000E0EB" w:usb2="00000008" w:usb3="00000000" w:csb0="00000001" w:csb1="00000000"/>
  </w:font>
  <w:font w:name="Times New Roman (Headings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e Bold">
    <w:altName w:val="Calibri"/>
    <w:panose1 w:val="020B08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BB0F9" w14:textId="1432FE38" w:rsidR="00E54397" w:rsidRDefault="008E661B">
    <w:r>
      <w:rPr>
        <w:noProof/>
      </w:rPr>
      <mc:AlternateContent>
        <mc:Choice Requires="wps">
          <w:drawing>
            <wp:anchor distT="0" distB="0" distL="0" distR="0" simplePos="0" relativeHeight="251662336" behindDoc="0" locked="0" layoutInCell="1" allowOverlap="1" wp14:anchorId="034F5AFA" wp14:editId="131C4522">
              <wp:simplePos x="635" y="635"/>
              <wp:positionH relativeFrom="page">
                <wp:align>left</wp:align>
              </wp:positionH>
              <wp:positionV relativeFrom="page">
                <wp:align>bottom</wp:align>
              </wp:positionV>
              <wp:extent cx="443865" cy="443865"/>
              <wp:effectExtent l="0" t="0" r="12065" b="0"/>
              <wp:wrapNone/>
              <wp:docPr id="10" name="Text Box 10" descr="Classification: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C85001" w14:textId="1DB1E56C" w:rsidR="008E661B" w:rsidRPr="008E661B" w:rsidRDefault="008E661B" w:rsidP="008E661B">
                          <w:pPr>
                            <w:spacing w:after="0"/>
                            <w:rPr>
                              <w:rFonts w:ascii="Calibri" w:eastAsia="Calibri" w:hAnsi="Calibri" w:cs="Calibri"/>
                              <w:noProof/>
                              <w:color w:val="000000"/>
                              <w:sz w:val="20"/>
                              <w:szCs w:val="20"/>
                            </w:rPr>
                          </w:pPr>
                          <w:r w:rsidRPr="008E661B">
                            <w:rPr>
                              <w:rFonts w:ascii="Calibri" w:eastAsia="Calibri" w:hAnsi="Calibri" w:cs="Calibri"/>
                              <w:noProof/>
                              <w:color w:val="000000"/>
                              <w:sz w:val="20"/>
                              <w:szCs w:val="20"/>
                            </w:rPr>
                            <w:t>Classification: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4F5AFA" id="_x0000_t202" coordsize="21600,21600" o:spt="202" path="m,l,21600r21600,l21600,xe">
              <v:stroke joinstyle="miter"/>
              <v:path gradientshapeok="t" o:connecttype="rect"/>
            </v:shapetype>
            <v:shape id="Text Box 10" o:spid="_x0000_s1026" type="#_x0000_t202" alt="Classification: BUSINESS"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6C85001" w14:textId="1DB1E56C" w:rsidR="008E661B" w:rsidRPr="008E661B" w:rsidRDefault="008E661B" w:rsidP="008E661B">
                    <w:pPr>
                      <w:spacing w:after="0"/>
                      <w:rPr>
                        <w:rFonts w:ascii="Calibri" w:eastAsia="Calibri" w:hAnsi="Calibri" w:cs="Calibri"/>
                        <w:noProof/>
                        <w:color w:val="000000"/>
                        <w:sz w:val="20"/>
                        <w:szCs w:val="20"/>
                      </w:rPr>
                    </w:pPr>
                    <w:r w:rsidRPr="008E661B">
                      <w:rPr>
                        <w:rFonts w:ascii="Calibri" w:eastAsia="Calibri" w:hAnsi="Calibri" w:cs="Calibri"/>
                        <w:noProof/>
                        <w:color w:val="000000"/>
                        <w:sz w:val="20"/>
                        <w:szCs w:val="20"/>
                      </w:rPr>
                      <w:t>Classification: BUSINESS</w:t>
                    </w:r>
                  </w:p>
                </w:txbxContent>
              </v:textbox>
              <w10:wrap anchorx="page" anchory="page"/>
            </v:shape>
          </w:pict>
        </mc:Fallback>
      </mc:AlternateContent>
    </w:r>
    <w:r w:rsidR="00DB6EBD">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375D" w14:textId="6F924691" w:rsidR="00E54397" w:rsidRDefault="008E661B">
    <w:r>
      <w:rPr>
        <w:caps/>
        <w:noProof/>
        <w:color w:val="4472C4" w:themeColor="accent1"/>
        <w:sz w:val="44"/>
        <w:szCs w:val="44"/>
      </w:rPr>
      <mc:AlternateContent>
        <mc:Choice Requires="wps">
          <w:drawing>
            <wp:anchor distT="0" distB="0" distL="0" distR="0" simplePos="0" relativeHeight="251663360" behindDoc="0" locked="0" layoutInCell="1" allowOverlap="1" wp14:anchorId="59AA0A9B" wp14:editId="3933AF25">
              <wp:simplePos x="151765" y="10222865"/>
              <wp:positionH relativeFrom="page">
                <wp:align>left</wp:align>
              </wp:positionH>
              <wp:positionV relativeFrom="page">
                <wp:align>bottom</wp:align>
              </wp:positionV>
              <wp:extent cx="443865" cy="443865"/>
              <wp:effectExtent l="0" t="0" r="12065" b="0"/>
              <wp:wrapNone/>
              <wp:docPr id="11" name="Text Box 11" descr="Classification: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AA81D" w14:textId="7CD06441" w:rsidR="008E661B" w:rsidRPr="008E661B" w:rsidRDefault="008E661B" w:rsidP="008E661B">
                          <w:pPr>
                            <w:spacing w:after="0"/>
                            <w:rPr>
                              <w:rFonts w:ascii="Calibri" w:eastAsia="Calibri" w:hAnsi="Calibri" w:cs="Calibri"/>
                              <w:noProof/>
                              <w:color w:val="000000"/>
                              <w:sz w:val="20"/>
                              <w:szCs w:val="20"/>
                            </w:rPr>
                          </w:pPr>
                          <w:r w:rsidRPr="008E661B">
                            <w:rPr>
                              <w:rFonts w:ascii="Calibri" w:eastAsia="Calibri" w:hAnsi="Calibri" w:cs="Calibri"/>
                              <w:noProof/>
                              <w:color w:val="000000"/>
                              <w:sz w:val="20"/>
                              <w:szCs w:val="20"/>
                            </w:rPr>
                            <w:t>Classification: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AA0A9B" id="_x0000_t202" coordsize="21600,21600" o:spt="202" path="m,l,21600r21600,l21600,xe">
              <v:stroke joinstyle="miter"/>
              <v:path gradientshapeok="t" o:connecttype="rect"/>
            </v:shapetype>
            <v:shape id="Text Box 11" o:spid="_x0000_s1027" type="#_x0000_t202" alt="Classification: BUSINESS"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DBAA81D" w14:textId="7CD06441" w:rsidR="008E661B" w:rsidRPr="008E661B" w:rsidRDefault="008E661B" w:rsidP="008E661B">
                    <w:pPr>
                      <w:spacing w:after="0"/>
                      <w:rPr>
                        <w:rFonts w:ascii="Calibri" w:eastAsia="Calibri" w:hAnsi="Calibri" w:cs="Calibri"/>
                        <w:noProof/>
                        <w:color w:val="000000"/>
                        <w:sz w:val="20"/>
                        <w:szCs w:val="20"/>
                      </w:rPr>
                    </w:pPr>
                    <w:r w:rsidRPr="008E661B">
                      <w:rPr>
                        <w:rFonts w:ascii="Calibri" w:eastAsia="Calibri" w:hAnsi="Calibri" w:cs="Calibri"/>
                        <w:noProof/>
                        <w:color w:val="000000"/>
                        <w:sz w:val="20"/>
                        <w:szCs w:val="20"/>
                      </w:rPr>
                      <w:t>Classification: BUSINESS</w:t>
                    </w:r>
                  </w:p>
                </w:txbxContent>
              </v:textbox>
              <w10:wrap anchorx="page" anchory="page"/>
            </v:shape>
          </w:pict>
        </mc:Fallback>
      </mc:AlternateContent>
    </w:r>
    <w:r w:rsidR="009C6BC6" w:rsidRPr="00CC318C">
      <w:rPr>
        <w:caps/>
        <w:noProof/>
        <w:color w:val="4472C4" w:themeColor="accent1"/>
        <w:sz w:val="44"/>
        <w:szCs w:val="44"/>
      </w:rPr>
      <w:drawing>
        <wp:anchor distT="0" distB="0" distL="114300" distR="114300" simplePos="0" relativeHeight="251652096" behindDoc="1" locked="0" layoutInCell="1" allowOverlap="1" wp14:anchorId="7F6C4A8F" wp14:editId="283EDABC">
          <wp:simplePos x="0" y="0"/>
          <wp:positionH relativeFrom="margin">
            <wp:align>left</wp:align>
          </wp:positionH>
          <wp:positionV relativeFrom="paragraph">
            <wp:posOffset>89148</wp:posOffset>
          </wp:positionV>
          <wp:extent cx="7096760" cy="21592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096760" cy="215926"/>
                  </a:xfrm>
                  <a:prstGeom prst="rect">
                    <a:avLst/>
                  </a:prstGeom>
                </pic:spPr>
              </pic:pic>
            </a:graphicData>
          </a:graphic>
          <wp14:sizeRelH relativeFrom="margin">
            <wp14:pctWidth>0</wp14:pctWidth>
          </wp14:sizeRelH>
          <wp14:sizeRelV relativeFrom="margin">
            <wp14:pctHeight>0</wp14:pctHeight>
          </wp14:sizeRelV>
        </wp:anchor>
      </w:drawing>
    </w:r>
    <w:r w:rsidR="009C6BC6">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CC45" w14:textId="3059F167" w:rsidR="00E54397" w:rsidRDefault="008E661B">
    <w:r>
      <w:rPr>
        <w:noProof/>
      </w:rPr>
      <mc:AlternateContent>
        <mc:Choice Requires="wps">
          <w:drawing>
            <wp:anchor distT="0" distB="0" distL="0" distR="0" simplePos="0" relativeHeight="251661312" behindDoc="0" locked="0" layoutInCell="1" allowOverlap="1" wp14:anchorId="058EDC7B" wp14:editId="54756D28">
              <wp:simplePos x="153619" y="10226650"/>
              <wp:positionH relativeFrom="page">
                <wp:align>left</wp:align>
              </wp:positionH>
              <wp:positionV relativeFrom="page">
                <wp:align>bottom</wp:align>
              </wp:positionV>
              <wp:extent cx="443865" cy="443865"/>
              <wp:effectExtent l="0" t="0" r="12065" b="0"/>
              <wp:wrapNone/>
              <wp:docPr id="9" name="Text Box 9" descr="Classification: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7EFBB8" w14:textId="618B9C35" w:rsidR="008E661B" w:rsidRPr="008E661B" w:rsidRDefault="008E661B" w:rsidP="008E661B">
                          <w:pPr>
                            <w:spacing w:after="0"/>
                            <w:rPr>
                              <w:rFonts w:ascii="Calibri" w:eastAsia="Calibri" w:hAnsi="Calibri" w:cs="Calibri"/>
                              <w:noProof/>
                              <w:color w:val="000000"/>
                              <w:sz w:val="20"/>
                              <w:szCs w:val="20"/>
                            </w:rPr>
                          </w:pPr>
                          <w:r w:rsidRPr="008E661B">
                            <w:rPr>
                              <w:rFonts w:ascii="Calibri" w:eastAsia="Calibri" w:hAnsi="Calibri" w:cs="Calibri"/>
                              <w:noProof/>
                              <w:color w:val="000000"/>
                              <w:sz w:val="20"/>
                              <w:szCs w:val="20"/>
                            </w:rPr>
                            <w:t>Classification: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8EDC7B" id="_x0000_t202" coordsize="21600,21600" o:spt="202" path="m,l,21600r21600,l21600,xe">
              <v:stroke joinstyle="miter"/>
              <v:path gradientshapeok="t" o:connecttype="rect"/>
            </v:shapetype>
            <v:shape id="Text Box 9" o:spid="_x0000_s1028" type="#_x0000_t202" alt="Classification: BUSINESS"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B7EFBB8" w14:textId="618B9C35" w:rsidR="008E661B" w:rsidRPr="008E661B" w:rsidRDefault="008E661B" w:rsidP="008E661B">
                    <w:pPr>
                      <w:spacing w:after="0"/>
                      <w:rPr>
                        <w:rFonts w:ascii="Calibri" w:eastAsia="Calibri" w:hAnsi="Calibri" w:cs="Calibri"/>
                        <w:noProof/>
                        <w:color w:val="000000"/>
                        <w:sz w:val="20"/>
                        <w:szCs w:val="20"/>
                      </w:rPr>
                    </w:pPr>
                    <w:r w:rsidRPr="008E661B">
                      <w:rPr>
                        <w:rFonts w:ascii="Calibri" w:eastAsia="Calibri" w:hAnsi="Calibri" w:cs="Calibri"/>
                        <w:noProof/>
                        <w:color w:val="000000"/>
                        <w:sz w:val="20"/>
                        <w:szCs w:val="20"/>
                      </w:rPr>
                      <w:t>Classification: BUSINESS</w:t>
                    </w:r>
                  </w:p>
                </w:txbxContent>
              </v:textbox>
              <w10:wrap anchorx="page" anchory="page"/>
            </v:shape>
          </w:pict>
        </mc:Fallback>
      </mc:AlternateContent>
    </w:r>
    <w:r w:rsidR="00DB6EBD">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F6846" w14:textId="77777777" w:rsidR="00357EFC" w:rsidRDefault="00357EFC" w:rsidP="00993447">
      <w:pPr>
        <w:spacing w:after="0" w:line="240" w:lineRule="auto"/>
      </w:pPr>
      <w:r>
        <w:separator/>
      </w:r>
    </w:p>
  </w:footnote>
  <w:footnote w:type="continuationSeparator" w:id="0">
    <w:p w14:paraId="71AF9C8D" w14:textId="77777777" w:rsidR="00357EFC" w:rsidRDefault="00357EFC" w:rsidP="00993447">
      <w:pPr>
        <w:spacing w:after="0" w:line="240" w:lineRule="auto"/>
      </w:pPr>
      <w:r>
        <w:continuationSeparator/>
      </w:r>
    </w:p>
  </w:footnote>
  <w:footnote w:type="continuationNotice" w:id="1">
    <w:p w14:paraId="518E21C4" w14:textId="77777777" w:rsidR="00357EFC" w:rsidRDefault="00357EFC">
      <w:pPr>
        <w:spacing w:after="0" w:line="240" w:lineRule="auto"/>
      </w:pPr>
    </w:p>
  </w:footnote>
  <w:footnote w:id="2">
    <w:p w14:paraId="60D88468" w14:textId="77777777" w:rsidR="007D1218" w:rsidRDefault="007D1218" w:rsidP="007D1218">
      <w:pPr>
        <w:pStyle w:val="FootnoteText"/>
      </w:pPr>
      <w:r>
        <w:rPr>
          <w:rStyle w:val="FootnoteReference"/>
        </w:rPr>
        <w:footnoteRef/>
      </w:r>
      <w:r>
        <w:t xml:space="preserve"> </w:t>
      </w:r>
      <w:r w:rsidRPr="002E7EE0">
        <w:rPr>
          <w:rFonts w:cs="Arial"/>
          <w:sz w:val="16"/>
          <w:szCs w:val="16"/>
        </w:rPr>
        <w:t xml:space="preserve">Appendix A shows a summary of business units, </w:t>
      </w:r>
      <w:proofErr w:type="gramStart"/>
      <w:r w:rsidRPr="002E7EE0">
        <w:rPr>
          <w:rFonts w:cs="Arial"/>
          <w:sz w:val="16"/>
          <w:szCs w:val="16"/>
        </w:rPr>
        <w:t>services</w:t>
      </w:r>
      <w:proofErr w:type="gramEnd"/>
      <w:r w:rsidRPr="002E7EE0">
        <w:rPr>
          <w:rFonts w:cs="Arial"/>
          <w:sz w:val="16"/>
          <w:szCs w:val="16"/>
        </w:rPr>
        <w:t xml:space="preserve"> and activity examples</w:t>
      </w:r>
      <w:r w:rsidRPr="00647D5A">
        <w:rPr>
          <w:rFonts w:cs="Arial"/>
          <w:sz w:val="18"/>
          <w:szCs w:val="18"/>
          <w:lang w:eastAsia="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29E4E" w14:textId="77777777" w:rsidR="00E54397" w:rsidRDefault="00DB6EB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C7C5" w14:textId="77777777" w:rsidR="009534AB" w:rsidRPr="009534AB" w:rsidRDefault="009534AB" w:rsidP="006A7625">
    <w:pPr>
      <w:pStyle w:val="NoSpacing"/>
      <w:spacing w:before="40" w:after="40"/>
      <w:rPr>
        <w:caps/>
        <w:color w:val="4472C4" w:themeColor="accent1"/>
        <w:sz w:val="2"/>
        <w:szCs w:val="2"/>
      </w:rPr>
    </w:pPr>
  </w:p>
  <w:p w14:paraId="649BE5ED" w14:textId="5969F419" w:rsidR="006A7625" w:rsidRDefault="00B36A6D" w:rsidP="006A7625">
    <w:pPr>
      <w:pStyle w:val="NoSpacing"/>
      <w:spacing w:before="40" w:after="40"/>
      <w:rPr>
        <w:rFonts w:eastAsiaTheme="minorHAnsi"/>
        <w:caps/>
        <w:color w:val="4472C4" w:themeColor="accent1"/>
        <w:sz w:val="44"/>
        <w:szCs w:val="44"/>
        <w:lang w:val="en-GB"/>
      </w:rPr>
    </w:pPr>
    <w:sdt>
      <w:sdtPr>
        <w:rPr>
          <w:caps/>
          <w:color w:val="4472C4" w:themeColor="accent1"/>
          <w:sz w:val="44"/>
          <w:szCs w:val="44"/>
        </w:rPr>
        <w:alias w:val="Subtitle"/>
        <w:tag w:val=""/>
        <w:id w:val="78954787"/>
        <w:dataBinding w:prefixMappings="xmlns:ns0='http://purl.org/dc/elements/1.1/' xmlns:ns1='http://schemas.openxmlformats.org/package/2006/metadata/core-properties' " w:xpath="/ns1:coreProperties[1]/ns0:subject[1]" w:storeItemID="{6C3C8BC8-F283-45AE-878A-BAB7291924A1}"/>
        <w:text/>
      </w:sdtPr>
      <w:sdtEndPr/>
      <w:sdtContent>
        <w:r w:rsidR="002D5E8C">
          <w:rPr>
            <w:caps/>
            <w:color w:val="4472C4" w:themeColor="accent1"/>
            <w:sz w:val="44"/>
            <w:szCs w:val="44"/>
          </w:rPr>
          <w:t>Report Specification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F51A" w14:textId="77777777" w:rsidR="00E54397" w:rsidRDefault="00DB6EBD">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94652"/>
    <w:multiLevelType w:val="hybridMultilevel"/>
    <w:tmpl w:val="36142592"/>
    <w:lvl w:ilvl="0" w:tplc="BC1C0104">
      <w:start w:val="31"/>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21700AFA"/>
    <w:multiLevelType w:val="multilevel"/>
    <w:tmpl w:val="95B27CD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B76F9A"/>
    <w:multiLevelType w:val="hybridMultilevel"/>
    <w:tmpl w:val="CBF631FC"/>
    <w:lvl w:ilvl="0" w:tplc="0809000F">
      <w:start w:val="1"/>
      <w:numFmt w:val="decimal"/>
      <w:lvlText w:val="%1."/>
      <w:lvlJc w:val="left"/>
      <w:pPr>
        <w:ind w:left="360" w:hanging="360"/>
      </w:pPr>
    </w:lvl>
    <w:lvl w:ilvl="1" w:tplc="75282522">
      <w:start w:val="1"/>
      <w:numFmt w:val="lowerLetter"/>
      <w:pStyle w:val="Bullet3"/>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37F90576"/>
    <w:multiLevelType w:val="multilevel"/>
    <w:tmpl w:val="4A12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B41890"/>
    <w:multiLevelType w:val="multilevel"/>
    <w:tmpl w:val="1786EA32"/>
    <w:styleLink w:val="Style1"/>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0DA0BCE"/>
    <w:multiLevelType w:val="multilevel"/>
    <w:tmpl w:val="1786EA32"/>
    <w:numStyleLink w:val="Style1"/>
  </w:abstractNum>
  <w:abstractNum w:abstractNumId="6" w15:restartNumberingAfterBreak="0">
    <w:nsid w:val="5D3E55BC"/>
    <w:multiLevelType w:val="multilevel"/>
    <w:tmpl w:val="95B27CD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00037D1"/>
    <w:multiLevelType w:val="hybridMultilevel"/>
    <w:tmpl w:val="FA60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B4A5C"/>
    <w:multiLevelType w:val="hybridMultilevel"/>
    <w:tmpl w:val="CC4E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9872E1"/>
    <w:multiLevelType w:val="hybridMultilevel"/>
    <w:tmpl w:val="613CA3C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93950BD"/>
    <w:multiLevelType w:val="hybridMultilevel"/>
    <w:tmpl w:val="3A3C964E"/>
    <w:lvl w:ilvl="0" w:tplc="5408474C">
      <w:start w:val="1"/>
      <w:numFmt w:val="bullet"/>
      <w:pStyle w:val="Bullet"/>
      <w:lvlText w:val=""/>
      <w:lvlJc w:val="left"/>
      <w:pPr>
        <w:ind w:left="-1516" w:hanging="360"/>
      </w:pPr>
      <w:rPr>
        <w:rFonts w:ascii="Symbol" w:hAnsi="Symbol" w:hint="default"/>
      </w:rPr>
    </w:lvl>
    <w:lvl w:ilvl="1" w:tplc="7038B888">
      <w:numFmt w:val="bullet"/>
      <w:lvlText w:val="•"/>
      <w:lvlJc w:val="left"/>
      <w:pPr>
        <w:ind w:left="-466" w:hanging="690"/>
      </w:pPr>
      <w:rPr>
        <w:rFonts w:ascii="Calibri" w:eastAsia="Times New Roman" w:hAnsi="Calibri" w:cs="Times New Roman" w:hint="default"/>
      </w:rPr>
    </w:lvl>
    <w:lvl w:ilvl="2" w:tplc="08090005">
      <w:start w:val="1"/>
      <w:numFmt w:val="bullet"/>
      <w:lvlText w:val=""/>
      <w:lvlJc w:val="left"/>
      <w:pPr>
        <w:ind w:left="-76" w:hanging="360"/>
      </w:pPr>
      <w:rPr>
        <w:rFonts w:ascii="Wingdings" w:hAnsi="Wingdings" w:hint="default"/>
      </w:rPr>
    </w:lvl>
    <w:lvl w:ilvl="3" w:tplc="08090001">
      <w:start w:val="1"/>
      <w:numFmt w:val="bullet"/>
      <w:lvlText w:val=""/>
      <w:lvlJc w:val="left"/>
      <w:pPr>
        <w:ind w:left="644" w:hanging="360"/>
      </w:pPr>
      <w:rPr>
        <w:rFonts w:ascii="Symbol" w:hAnsi="Symbol" w:hint="default"/>
      </w:rPr>
    </w:lvl>
    <w:lvl w:ilvl="4" w:tplc="08090003">
      <w:start w:val="1"/>
      <w:numFmt w:val="bullet"/>
      <w:lvlText w:val="o"/>
      <w:lvlJc w:val="left"/>
      <w:pPr>
        <w:ind w:left="1364" w:hanging="360"/>
      </w:pPr>
      <w:rPr>
        <w:rFonts w:ascii="Courier New" w:hAnsi="Courier New" w:cs="Courier New" w:hint="default"/>
      </w:rPr>
    </w:lvl>
    <w:lvl w:ilvl="5" w:tplc="08090005">
      <w:start w:val="1"/>
      <w:numFmt w:val="bullet"/>
      <w:lvlText w:val=""/>
      <w:lvlJc w:val="left"/>
      <w:pPr>
        <w:ind w:left="2084" w:hanging="360"/>
      </w:pPr>
      <w:rPr>
        <w:rFonts w:ascii="Wingdings" w:hAnsi="Wingdings" w:hint="default"/>
      </w:rPr>
    </w:lvl>
    <w:lvl w:ilvl="6" w:tplc="08090001">
      <w:start w:val="1"/>
      <w:numFmt w:val="bullet"/>
      <w:lvlText w:val=""/>
      <w:lvlJc w:val="left"/>
      <w:pPr>
        <w:ind w:left="2804" w:hanging="360"/>
      </w:pPr>
      <w:rPr>
        <w:rFonts w:ascii="Symbol" w:hAnsi="Symbol" w:hint="default"/>
      </w:rPr>
    </w:lvl>
    <w:lvl w:ilvl="7" w:tplc="08090003">
      <w:start w:val="1"/>
      <w:numFmt w:val="bullet"/>
      <w:lvlText w:val="o"/>
      <w:lvlJc w:val="left"/>
      <w:pPr>
        <w:ind w:left="3524" w:hanging="360"/>
      </w:pPr>
      <w:rPr>
        <w:rFonts w:ascii="Courier New" w:hAnsi="Courier New" w:cs="Courier New" w:hint="default"/>
      </w:rPr>
    </w:lvl>
    <w:lvl w:ilvl="8" w:tplc="08090005">
      <w:start w:val="1"/>
      <w:numFmt w:val="bullet"/>
      <w:lvlText w:val=""/>
      <w:lvlJc w:val="left"/>
      <w:pPr>
        <w:ind w:left="4244" w:hanging="360"/>
      </w:pPr>
      <w:rPr>
        <w:rFonts w:ascii="Wingdings" w:hAnsi="Wingdings" w:hint="default"/>
      </w:rPr>
    </w:lvl>
  </w:abstractNum>
  <w:num w:numId="1" w16cid:durableId="1611206104">
    <w:abstractNumId w:val="10"/>
  </w:num>
  <w:num w:numId="2" w16cid:durableId="1619951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6278519">
    <w:abstractNumId w:val="7"/>
  </w:num>
  <w:num w:numId="4" w16cid:durableId="575895471">
    <w:abstractNumId w:val="3"/>
  </w:num>
  <w:num w:numId="5" w16cid:durableId="837157410">
    <w:abstractNumId w:val="6"/>
  </w:num>
  <w:num w:numId="6" w16cid:durableId="670834509">
    <w:abstractNumId w:val="9"/>
  </w:num>
  <w:num w:numId="7" w16cid:durableId="278952332">
    <w:abstractNumId w:val="0"/>
  </w:num>
  <w:num w:numId="8" w16cid:durableId="1048726753">
    <w:abstractNumId w:val="5"/>
  </w:num>
  <w:num w:numId="9" w16cid:durableId="1712684626">
    <w:abstractNumId w:val="8"/>
  </w:num>
  <w:num w:numId="10" w16cid:durableId="1425492077">
    <w:abstractNumId w:val="4"/>
  </w:num>
  <w:num w:numId="11" w16cid:durableId="1825782784">
    <w:abstractNumId w:val="2"/>
  </w:num>
  <w:num w:numId="12" w16cid:durableId="103110847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BF"/>
    <w:rsid w:val="00013E08"/>
    <w:rsid w:val="00023F46"/>
    <w:rsid w:val="000471D8"/>
    <w:rsid w:val="0005457A"/>
    <w:rsid w:val="00056D71"/>
    <w:rsid w:val="000620D5"/>
    <w:rsid w:val="00063EAC"/>
    <w:rsid w:val="00072359"/>
    <w:rsid w:val="000751BC"/>
    <w:rsid w:val="00081DD3"/>
    <w:rsid w:val="00087A1B"/>
    <w:rsid w:val="00095D2A"/>
    <w:rsid w:val="000A18DA"/>
    <w:rsid w:val="000A1E4F"/>
    <w:rsid w:val="000B1D97"/>
    <w:rsid w:val="000B7042"/>
    <w:rsid w:val="000C21C8"/>
    <w:rsid w:val="000D3FA4"/>
    <w:rsid w:val="000D41A4"/>
    <w:rsid w:val="000D4919"/>
    <w:rsid w:val="000E0C81"/>
    <w:rsid w:val="000E466D"/>
    <w:rsid w:val="000F266E"/>
    <w:rsid w:val="000F6966"/>
    <w:rsid w:val="000F7916"/>
    <w:rsid w:val="00102CDB"/>
    <w:rsid w:val="00107D51"/>
    <w:rsid w:val="00115608"/>
    <w:rsid w:val="00117425"/>
    <w:rsid w:val="00121525"/>
    <w:rsid w:val="00121547"/>
    <w:rsid w:val="001254B1"/>
    <w:rsid w:val="00126E96"/>
    <w:rsid w:val="00127935"/>
    <w:rsid w:val="00131C27"/>
    <w:rsid w:val="00136B12"/>
    <w:rsid w:val="00142CC2"/>
    <w:rsid w:val="00145A23"/>
    <w:rsid w:val="00145D77"/>
    <w:rsid w:val="00146A7E"/>
    <w:rsid w:val="0014757A"/>
    <w:rsid w:val="00147663"/>
    <w:rsid w:val="00155BB9"/>
    <w:rsid w:val="001625B5"/>
    <w:rsid w:val="001631EE"/>
    <w:rsid w:val="00170E8B"/>
    <w:rsid w:val="00171B8C"/>
    <w:rsid w:val="001741E2"/>
    <w:rsid w:val="001775ED"/>
    <w:rsid w:val="00177B74"/>
    <w:rsid w:val="001844F3"/>
    <w:rsid w:val="00185CE0"/>
    <w:rsid w:val="0018632C"/>
    <w:rsid w:val="00186EF5"/>
    <w:rsid w:val="0019271A"/>
    <w:rsid w:val="001940FD"/>
    <w:rsid w:val="00196E29"/>
    <w:rsid w:val="0019749E"/>
    <w:rsid w:val="001975DC"/>
    <w:rsid w:val="001A2F98"/>
    <w:rsid w:val="001A41FF"/>
    <w:rsid w:val="001B034D"/>
    <w:rsid w:val="001B4E09"/>
    <w:rsid w:val="001B5443"/>
    <w:rsid w:val="001B74DE"/>
    <w:rsid w:val="001C4CA7"/>
    <w:rsid w:val="001D078B"/>
    <w:rsid w:val="001D757E"/>
    <w:rsid w:val="001E7082"/>
    <w:rsid w:val="001E7A90"/>
    <w:rsid w:val="001F1357"/>
    <w:rsid w:val="001F5643"/>
    <w:rsid w:val="001F5B9F"/>
    <w:rsid w:val="001F714B"/>
    <w:rsid w:val="00201C5A"/>
    <w:rsid w:val="002067EA"/>
    <w:rsid w:val="00211E0C"/>
    <w:rsid w:val="00214CF9"/>
    <w:rsid w:val="002153E9"/>
    <w:rsid w:val="00220776"/>
    <w:rsid w:val="00220923"/>
    <w:rsid w:val="0022395D"/>
    <w:rsid w:val="00230FC5"/>
    <w:rsid w:val="00237458"/>
    <w:rsid w:val="00237B5D"/>
    <w:rsid w:val="00242BD7"/>
    <w:rsid w:val="00246651"/>
    <w:rsid w:val="00256D07"/>
    <w:rsid w:val="002605E9"/>
    <w:rsid w:val="00261A08"/>
    <w:rsid w:val="00275C33"/>
    <w:rsid w:val="00276DBB"/>
    <w:rsid w:val="00276FDA"/>
    <w:rsid w:val="0027742C"/>
    <w:rsid w:val="0028040F"/>
    <w:rsid w:val="0028107B"/>
    <w:rsid w:val="00287C39"/>
    <w:rsid w:val="002927F7"/>
    <w:rsid w:val="002938E8"/>
    <w:rsid w:val="00296ACA"/>
    <w:rsid w:val="002A31E1"/>
    <w:rsid w:val="002A3861"/>
    <w:rsid w:val="002A43C3"/>
    <w:rsid w:val="002A644E"/>
    <w:rsid w:val="002A6D19"/>
    <w:rsid w:val="002B4211"/>
    <w:rsid w:val="002B63B9"/>
    <w:rsid w:val="002C0891"/>
    <w:rsid w:val="002C6433"/>
    <w:rsid w:val="002D09BD"/>
    <w:rsid w:val="002D5E8C"/>
    <w:rsid w:val="002E77D8"/>
    <w:rsid w:val="002F046D"/>
    <w:rsid w:val="002F2167"/>
    <w:rsid w:val="002F5518"/>
    <w:rsid w:val="00301BDC"/>
    <w:rsid w:val="00301CEB"/>
    <w:rsid w:val="003078C1"/>
    <w:rsid w:val="00310D06"/>
    <w:rsid w:val="00311197"/>
    <w:rsid w:val="00311411"/>
    <w:rsid w:val="003125D0"/>
    <w:rsid w:val="0031774F"/>
    <w:rsid w:val="00320A6F"/>
    <w:rsid w:val="003315CC"/>
    <w:rsid w:val="003416DC"/>
    <w:rsid w:val="0035051D"/>
    <w:rsid w:val="00356F5F"/>
    <w:rsid w:val="00357A64"/>
    <w:rsid w:val="00357EFC"/>
    <w:rsid w:val="003637F0"/>
    <w:rsid w:val="00365649"/>
    <w:rsid w:val="00365B3D"/>
    <w:rsid w:val="00373130"/>
    <w:rsid w:val="00373D6E"/>
    <w:rsid w:val="0037408A"/>
    <w:rsid w:val="00374429"/>
    <w:rsid w:val="00375FE7"/>
    <w:rsid w:val="0037625C"/>
    <w:rsid w:val="00381A77"/>
    <w:rsid w:val="0038259A"/>
    <w:rsid w:val="00384C5A"/>
    <w:rsid w:val="0038689D"/>
    <w:rsid w:val="0039575B"/>
    <w:rsid w:val="003960AD"/>
    <w:rsid w:val="00397710"/>
    <w:rsid w:val="003A454C"/>
    <w:rsid w:val="003A6A5A"/>
    <w:rsid w:val="003B2B3B"/>
    <w:rsid w:val="003B3C65"/>
    <w:rsid w:val="003B3F03"/>
    <w:rsid w:val="003B64FE"/>
    <w:rsid w:val="003B6FAB"/>
    <w:rsid w:val="003C0F3E"/>
    <w:rsid w:val="003C373D"/>
    <w:rsid w:val="003D07C3"/>
    <w:rsid w:val="003D10CA"/>
    <w:rsid w:val="003D2782"/>
    <w:rsid w:val="003D2B81"/>
    <w:rsid w:val="003D6563"/>
    <w:rsid w:val="003D72CC"/>
    <w:rsid w:val="003D769F"/>
    <w:rsid w:val="003F07B2"/>
    <w:rsid w:val="003F12AE"/>
    <w:rsid w:val="003F4096"/>
    <w:rsid w:val="003F7123"/>
    <w:rsid w:val="004018AB"/>
    <w:rsid w:val="00402554"/>
    <w:rsid w:val="00407C90"/>
    <w:rsid w:val="00411A72"/>
    <w:rsid w:val="00416621"/>
    <w:rsid w:val="0042033B"/>
    <w:rsid w:val="00421EE4"/>
    <w:rsid w:val="0043086A"/>
    <w:rsid w:val="00435FF5"/>
    <w:rsid w:val="0044199D"/>
    <w:rsid w:val="004434A5"/>
    <w:rsid w:val="00443C34"/>
    <w:rsid w:val="00444703"/>
    <w:rsid w:val="004458B9"/>
    <w:rsid w:val="0044630C"/>
    <w:rsid w:val="00450E25"/>
    <w:rsid w:val="004652E6"/>
    <w:rsid w:val="0047298A"/>
    <w:rsid w:val="00474FA1"/>
    <w:rsid w:val="004765A8"/>
    <w:rsid w:val="00480EFF"/>
    <w:rsid w:val="00482251"/>
    <w:rsid w:val="0048345F"/>
    <w:rsid w:val="00495A05"/>
    <w:rsid w:val="004961D3"/>
    <w:rsid w:val="004A6147"/>
    <w:rsid w:val="004B6F2A"/>
    <w:rsid w:val="004C19A4"/>
    <w:rsid w:val="004C2AEE"/>
    <w:rsid w:val="004D32E7"/>
    <w:rsid w:val="004D4558"/>
    <w:rsid w:val="004D6453"/>
    <w:rsid w:val="004E37D1"/>
    <w:rsid w:val="004E3BF2"/>
    <w:rsid w:val="004E6CE7"/>
    <w:rsid w:val="004F3E9F"/>
    <w:rsid w:val="004F51DE"/>
    <w:rsid w:val="004F57BB"/>
    <w:rsid w:val="004F7134"/>
    <w:rsid w:val="004F7C02"/>
    <w:rsid w:val="00502FB5"/>
    <w:rsid w:val="00510F4A"/>
    <w:rsid w:val="00516A02"/>
    <w:rsid w:val="0052164D"/>
    <w:rsid w:val="00523998"/>
    <w:rsid w:val="00532459"/>
    <w:rsid w:val="00534232"/>
    <w:rsid w:val="005353DC"/>
    <w:rsid w:val="005368A6"/>
    <w:rsid w:val="00540ED1"/>
    <w:rsid w:val="00541A63"/>
    <w:rsid w:val="005518A2"/>
    <w:rsid w:val="0055332D"/>
    <w:rsid w:val="005622B0"/>
    <w:rsid w:val="00565502"/>
    <w:rsid w:val="00566A9F"/>
    <w:rsid w:val="00571658"/>
    <w:rsid w:val="005769E9"/>
    <w:rsid w:val="00576F0C"/>
    <w:rsid w:val="00577A50"/>
    <w:rsid w:val="00580A81"/>
    <w:rsid w:val="00581413"/>
    <w:rsid w:val="00587029"/>
    <w:rsid w:val="00597D9F"/>
    <w:rsid w:val="005A20A2"/>
    <w:rsid w:val="005A4B75"/>
    <w:rsid w:val="005A5713"/>
    <w:rsid w:val="005A5931"/>
    <w:rsid w:val="005A609C"/>
    <w:rsid w:val="005A6BB5"/>
    <w:rsid w:val="005B5CB1"/>
    <w:rsid w:val="005B609A"/>
    <w:rsid w:val="005C0524"/>
    <w:rsid w:val="005C272F"/>
    <w:rsid w:val="005C7697"/>
    <w:rsid w:val="005E1E48"/>
    <w:rsid w:val="005E6592"/>
    <w:rsid w:val="005F379F"/>
    <w:rsid w:val="00605068"/>
    <w:rsid w:val="006066B0"/>
    <w:rsid w:val="00607E16"/>
    <w:rsid w:val="0062255B"/>
    <w:rsid w:val="00623EC8"/>
    <w:rsid w:val="0062568A"/>
    <w:rsid w:val="00627AA1"/>
    <w:rsid w:val="006345EF"/>
    <w:rsid w:val="00634AF5"/>
    <w:rsid w:val="00636E00"/>
    <w:rsid w:val="00641664"/>
    <w:rsid w:val="006478BB"/>
    <w:rsid w:val="00650027"/>
    <w:rsid w:val="006522EB"/>
    <w:rsid w:val="0065573E"/>
    <w:rsid w:val="00655DAA"/>
    <w:rsid w:val="006649C3"/>
    <w:rsid w:val="00664E1F"/>
    <w:rsid w:val="00664E6F"/>
    <w:rsid w:val="00671132"/>
    <w:rsid w:val="00673AF1"/>
    <w:rsid w:val="00677A33"/>
    <w:rsid w:val="00677F2E"/>
    <w:rsid w:val="00682A22"/>
    <w:rsid w:val="006917CA"/>
    <w:rsid w:val="006917F6"/>
    <w:rsid w:val="00696652"/>
    <w:rsid w:val="006A7625"/>
    <w:rsid w:val="006A7FEF"/>
    <w:rsid w:val="006B2554"/>
    <w:rsid w:val="006B47C4"/>
    <w:rsid w:val="006C2221"/>
    <w:rsid w:val="006C6F6E"/>
    <w:rsid w:val="006D17F9"/>
    <w:rsid w:val="006D3DF7"/>
    <w:rsid w:val="006D5AD6"/>
    <w:rsid w:val="006D6EAD"/>
    <w:rsid w:val="006F018C"/>
    <w:rsid w:val="006F043E"/>
    <w:rsid w:val="00704566"/>
    <w:rsid w:val="0070604B"/>
    <w:rsid w:val="00710DBE"/>
    <w:rsid w:val="00716A78"/>
    <w:rsid w:val="00720D61"/>
    <w:rsid w:val="00721D17"/>
    <w:rsid w:val="007371A9"/>
    <w:rsid w:val="00737695"/>
    <w:rsid w:val="007412F5"/>
    <w:rsid w:val="00743E8F"/>
    <w:rsid w:val="0074472D"/>
    <w:rsid w:val="007536BC"/>
    <w:rsid w:val="00757320"/>
    <w:rsid w:val="00757D6E"/>
    <w:rsid w:val="00763A75"/>
    <w:rsid w:val="00764100"/>
    <w:rsid w:val="007641BD"/>
    <w:rsid w:val="00765A79"/>
    <w:rsid w:val="00767C96"/>
    <w:rsid w:val="0077046B"/>
    <w:rsid w:val="00772380"/>
    <w:rsid w:val="007742D0"/>
    <w:rsid w:val="00786FBD"/>
    <w:rsid w:val="00790F26"/>
    <w:rsid w:val="00796430"/>
    <w:rsid w:val="00796959"/>
    <w:rsid w:val="00797876"/>
    <w:rsid w:val="007A1126"/>
    <w:rsid w:val="007A4C7D"/>
    <w:rsid w:val="007A4E86"/>
    <w:rsid w:val="007A5664"/>
    <w:rsid w:val="007B18B3"/>
    <w:rsid w:val="007B496C"/>
    <w:rsid w:val="007C5EED"/>
    <w:rsid w:val="007C610B"/>
    <w:rsid w:val="007C635D"/>
    <w:rsid w:val="007D1218"/>
    <w:rsid w:val="007D6F55"/>
    <w:rsid w:val="007E09CC"/>
    <w:rsid w:val="007E1CE3"/>
    <w:rsid w:val="007E363F"/>
    <w:rsid w:val="007E460E"/>
    <w:rsid w:val="007F233F"/>
    <w:rsid w:val="00800359"/>
    <w:rsid w:val="00800623"/>
    <w:rsid w:val="00803FF0"/>
    <w:rsid w:val="008043B4"/>
    <w:rsid w:val="00820964"/>
    <w:rsid w:val="008255B9"/>
    <w:rsid w:val="00826680"/>
    <w:rsid w:val="008336E3"/>
    <w:rsid w:val="008369D3"/>
    <w:rsid w:val="00840667"/>
    <w:rsid w:val="0084179B"/>
    <w:rsid w:val="008538F1"/>
    <w:rsid w:val="00861A12"/>
    <w:rsid w:val="00862CFD"/>
    <w:rsid w:val="00863233"/>
    <w:rsid w:val="00865617"/>
    <w:rsid w:val="008739EF"/>
    <w:rsid w:val="00877D93"/>
    <w:rsid w:val="00881F02"/>
    <w:rsid w:val="008879C0"/>
    <w:rsid w:val="008907DE"/>
    <w:rsid w:val="008959BF"/>
    <w:rsid w:val="008A2106"/>
    <w:rsid w:val="008A44EC"/>
    <w:rsid w:val="008B3FE4"/>
    <w:rsid w:val="008B5CAA"/>
    <w:rsid w:val="008C12AF"/>
    <w:rsid w:val="008C3FD9"/>
    <w:rsid w:val="008D0A09"/>
    <w:rsid w:val="008D5207"/>
    <w:rsid w:val="008E3C60"/>
    <w:rsid w:val="008E5256"/>
    <w:rsid w:val="008E5D24"/>
    <w:rsid w:val="008E661B"/>
    <w:rsid w:val="008F0468"/>
    <w:rsid w:val="008F07D3"/>
    <w:rsid w:val="008F2869"/>
    <w:rsid w:val="009013AB"/>
    <w:rsid w:val="00903005"/>
    <w:rsid w:val="009072C5"/>
    <w:rsid w:val="00907E6D"/>
    <w:rsid w:val="00911E73"/>
    <w:rsid w:val="009149BA"/>
    <w:rsid w:val="009215DD"/>
    <w:rsid w:val="00921794"/>
    <w:rsid w:val="00921AF4"/>
    <w:rsid w:val="00937397"/>
    <w:rsid w:val="00940C62"/>
    <w:rsid w:val="00941C62"/>
    <w:rsid w:val="009523F3"/>
    <w:rsid w:val="00952956"/>
    <w:rsid w:val="009534AB"/>
    <w:rsid w:val="00953962"/>
    <w:rsid w:val="0095497A"/>
    <w:rsid w:val="009626D3"/>
    <w:rsid w:val="00967A5E"/>
    <w:rsid w:val="0097514C"/>
    <w:rsid w:val="0098344E"/>
    <w:rsid w:val="00984165"/>
    <w:rsid w:val="00990B03"/>
    <w:rsid w:val="00993447"/>
    <w:rsid w:val="009A5321"/>
    <w:rsid w:val="009A70DB"/>
    <w:rsid w:val="009A78E7"/>
    <w:rsid w:val="009C26EB"/>
    <w:rsid w:val="009C3ABF"/>
    <w:rsid w:val="009C483F"/>
    <w:rsid w:val="009C4F0C"/>
    <w:rsid w:val="009C526F"/>
    <w:rsid w:val="009C6BC6"/>
    <w:rsid w:val="009C75A5"/>
    <w:rsid w:val="009C7F0F"/>
    <w:rsid w:val="009D0279"/>
    <w:rsid w:val="009D02C5"/>
    <w:rsid w:val="009D2164"/>
    <w:rsid w:val="009D2B50"/>
    <w:rsid w:val="009E08AC"/>
    <w:rsid w:val="009E0D24"/>
    <w:rsid w:val="009E31EE"/>
    <w:rsid w:val="009E3EDA"/>
    <w:rsid w:val="009E5CE4"/>
    <w:rsid w:val="009E7018"/>
    <w:rsid w:val="00A009CB"/>
    <w:rsid w:val="00A15463"/>
    <w:rsid w:val="00A203EF"/>
    <w:rsid w:val="00A3085E"/>
    <w:rsid w:val="00A34E47"/>
    <w:rsid w:val="00A4172F"/>
    <w:rsid w:val="00A4179C"/>
    <w:rsid w:val="00A43133"/>
    <w:rsid w:val="00A47303"/>
    <w:rsid w:val="00A4732B"/>
    <w:rsid w:val="00A52F9A"/>
    <w:rsid w:val="00A571B3"/>
    <w:rsid w:val="00A5755A"/>
    <w:rsid w:val="00A74022"/>
    <w:rsid w:val="00A952AA"/>
    <w:rsid w:val="00AA191F"/>
    <w:rsid w:val="00AA5807"/>
    <w:rsid w:val="00AB4414"/>
    <w:rsid w:val="00AB6083"/>
    <w:rsid w:val="00AC6613"/>
    <w:rsid w:val="00AC77EE"/>
    <w:rsid w:val="00AD0F6A"/>
    <w:rsid w:val="00AD140E"/>
    <w:rsid w:val="00AD1B17"/>
    <w:rsid w:val="00AD1B98"/>
    <w:rsid w:val="00AD70F1"/>
    <w:rsid w:val="00AE0D27"/>
    <w:rsid w:val="00AE3B49"/>
    <w:rsid w:val="00AE645A"/>
    <w:rsid w:val="00AE70D9"/>
    <w:rsid w:val="00AF07F1"/>
    <w:rsid w:val="00AF3C23"/>
    <w:rsid w:val="00B12C95"/>
    <w:rsid w:val="00B15D39"/>
    <w:rsid w:val="00B302C7"/>
    <w:rsid w:val="00B310A7"/>
    <w:rsid w:val="00B31C3D"/>
    <w:rsid w:val="00B33A3E"/>
    <w:rsid w:val="00B36A6D"/>
    <w:rsid w:val="00B3733D"/>
    <w:rsid w:val="00B37807"/>
    <w:rsid w:val="00B40F4D"/>
    <w:rsid w:val="00B45177"/>
    <w:rsid w:val="00B466CA"/>
    <w:rsid w:val="00B529A2"/>
    <w:rsid w:val="00B57C97"/>
    <w:rsid w:val="00B6124C"/>
    <w:rsid w:val="00B653CE"/>
    <w:rsid w:val="00B71A1D"/>
    <w:rsid w:val="00B7239C"/>
    <w:rsid w:val="00B8446C"/>
    <w:rsid w:val="00BA51E2"/>
    <w:rsid w:val="00BB2E96"/>
    <w:rsid w:val="00BB5A3D"/>
    <w:rsid w:val="00BC0F74"/>
    <w:rsid w:val="00BC137E"/>
    <w:rsid w:val="00BC1F14"/>
    <w:rsid w:val="00BC31B8"/>
    <w:rsid w:val="00BC3CCF"/>
    <w:rsid w:val="00BD289E"/>
    <w:rsid w:val="00BD5AA5"/>
    <w:rsid w:val="00BD634C"/>
    <w:rsid w:val="00C1439C"/>
    <w:rsid w:val="00C201AB"/>
    <w:rsid w:val="00C20F09"/>
    <w:rsid w:val="00C263A7"/>
    <w:rsid w:val="00C30AF0"/>
    <w:rsid w:val="00C32A4B"/>
    <w:rsid w:val="00C3366A"/>
    <w:rsid w:val="00C341D6"/>
    <w:rsid w:val="00C36C6E"/>
    <w:rsid w:val="00C540A4"/>
    <w:rsid w:val="00C54E8E"/>
    <w:rsid w:val="00C73102"/>
    <w:rsid w:val="00C773DC"/>
    <w:rsid w:val="00C80428"/>
    <w:rsid w:val="00C813D7"/>
    <w:rsid w:val="00C830DC"/>
    <w:rsid w:val="00C92908"/>
    <w:rsid w:val="00CA725E"/>
    <w:rsid w:val="00CA7BAE"/>
    <w:rsid w:val="00CB47B1"/>
    <w:rsid w:val="00CB7AAE"/>
    <w:rsid w:val="00CC24E9"/>
    <w:rsid w:val="00CC6458"/>
    <w:rsid w:val="00CC7244"/>
    <w:rsid w:val="00CC77B6"/>
    <w:rsid w:val="00CE0DBD"/>
    <w:rsid w:val="00CE2D48"/>
    <w:rsid w:val="00CF2643"/>
    <w:rsid w:val="00CF364B"/>
    <w:rsid w:val="00CF7A2D"/>
    <w:rsid w:val="00D01D22"/>
    <w:rsid w:val="00D10117"/>
    <w:rsid w:val="00D118A9"/>
    <w:rsid w:val="00D1385F"/>
    <w:rsid w:val="00D2403B"/>
    <w:rsid w:val="00D26A59"/>
    <w:rsid w:val="00D26B94"/>
    <w:rsid w:val="00D31870"/>
    <w:rsid w:val="00D33EFA"/>
    <w:rsid w:val="00D375E0"/>
    <w:rsid w:val="00D466BA"/>
    <w:rsid w:val="00D51FB8"/>
    <w:rsid w:val="00D5425F"/>
    <w:rsid w:val="00D5674C"/>
    <w:rsid w:val="00D5679A"/>
    <w:rsid w:val="00D56E51"/>
    <w:rsid w:val="00D602FB"/>
    <w:rsid w:val="00D61417"/>
    <w:rsid w:val="00D64000"/>
    <w:rsid w:val="00D645CA"/>
    <w:rsid w:val="00D64CDD"/>
    <w:rsid w:val="00D669B4"/>
    <w:rsid w:val="00D8374F"/>
    <w:rsid w:val="00D90C90"/>
    <w:rsid w:val="00DA37A0"/>
    <w:rsid w:val="00DB3818"/>
    <w:rsid w:val="00DB4B44"/>
    <w:rsid w:val="00DB6EBD"/>
    <w:rsid w:val="00DB6F4A"/>
    <w:rsid w:val="00DC318C"/>
    <w:rsid w:val="00DD02A0"/>
    <w:rsid w:val="00DD305E"/>
    <w:rsid w:val="00DE0746"/>
    <w:rsid w:val="00DE1E39"/>
    <w:rsid w:val="00DF253D"/>
    <w:rsid w:val="00E004E7"/>
    <w:rsid w:val="00E122A7"/>
    <w:rsid w:val="00E204EF"/>
    <w:rsid w:val="00E24A2D"/>
    <w:rsid w:val="00E25DC2"/>
    <w:rsid w:val="00E30344"/>
    <w:rsid w:val="00E353CD"/>
    <w:rsid w:val="00E463A3"/>
    <w:rsid w:val="00E54397"/>
    <w:rsid w:val="00E604AC"/>
    <w:rsid w:val="00E6793F"/>
    <w:rsid w:val="00E70BBB"/>
    <w:rsid w:val="00E70E7B"/>
    <w:rsid w:val="00E76ABF"/>
    <w:rsid w:val="00E80CF4"/>
    <w:rsid w:val="00E831E8"/>
    <w:rsid w:val="00E857DE"/>
    <w:rsid w:val="00E863FD"/>
    <w:rsid w:val="00E8665C"/>
    <w:rsid w:val="00E935E4"/>
    <w:rsid w:val="00EA60D0"/>
    <w:rsid w:val="00EA7959"/>
    <w:rsid w:val="00EB153F"/>
    <w:rsid w:val="00EB25F8"/>
    <w:rsid w:val="00EB2C23"/>
    <w:rsid w:val="00EB386E"/>
    <w:rsid w:val="00ED4754"/>
    <w:rsid w:val="00ED5D4E"/>
    <w:rsid w:val="00EE5878"/>
    <w:rsid w:val="00EE62FD"/>
    <w:rsid w:val="00EF3A99"/>
    <w:rsid w:val="00F01C15"/>
    <w:rsid w:val="00F044B9"/>
    <w:rsid w:val="00F05E34"/>
    <w:rsid w:val="00F14EF9"/>
    <w:rsid w:val="00F158BF"/>
    <w:rsid w:val="00F16CF1"/>
    <w:rsid w:val="00F17D05"/>
    <w:rsid w:val="00F32C9E"/>
    <w:rsid w:val="00F44712"/>
    <w:rsid w:val="00F47013"/>
    <w:rsid w:val="00F63B68"/>
    <w:rsid w:val="00F646AB"/>
    <w:rsid w:val="00F64B15"/>
    <w:rsid w:val="00F663D7"/>
    <w:rsid w:val="00F66505"/>
    <w:rsid w:val="00F733F1"/>
    <w:rsid w:val="00F801D3"/>
    <w:rsid w:val="00F801E2"/>
    <w:rsid w:val="00F90E7B"/>
    <w:rsid w:val="00F90F44"/>
    <w:rsid w:val="00F91926"/>
    <w:rsid w:val="00F93AE0"/>
    <w:rsid w:val="00FA5737"/>
    <w:rsid w:val="00FB052E"/>
    <w:rsid w:val="00FB11D1"/>
    <w:rsid w:val="00FC45E6"/>
    <w:rsid w:val="00FC5FF9"/>
    <w:rsid w:val="00FC675C"/>
    <w:rsid w:val="00FC68F3"/>
    <w:rsid w:val="00FD0639"/>
    <w:rsid w:val="00FD53DE"/>
    <w:rsid w:val="00FE6993"/>
    <w:rsid w:val="00FF5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B8BB70"/>
  <w15:chartTrackingRefBased/>
  <w15:docId w15:val="{D34209AF-AA80-4B6A-A225-45B555DF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A43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0964"/>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177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3C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A43C3"/>
    <w:pPr>
      <w:outlineLvl w:val="9"/>
    </w:pPr>
    <w:rPr>
      <w:lang w:val="en-US"/>
    </w:rPr>
  </w:style>
  <w:style w:type="paragraph" w:styleId="Header">
    <w:name w:val="header"/>
    <w:basedOn w:val="Normal"/>
    <w:link w:val="HeaderChar"/>
    <w:unhideWhenUsed/>
    <w:rsid w:val="00993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447"/>
  </w:style>
  <w:style w:type="paragraph" w:styleId="Footer">
    <w:name w:val="footer"/>
    <w:basedOn w:val="Normal"/>
    <w:link w:val="FooterChar"/>
    <w:uiPriority w:val="99"/>
    <w:unhideWhenUsed/>
    <w:rsid w:val="00993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447"/>
  </w:style>
  <w:style w:type="table" w:styleId="TableGrid">
    <w:name w:val="Table Grid"/>
    <w:basedOn w:val="TableNormal"/>
    <w:uiPriority w:val="59"/>
    <w:rsid w:val="00AE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71A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71A1D"/>
    <w:rPr>
      <w:rFonts w:eastAsiaTheme="minorEastAsia"/>
      <w:lang w:val="en-US"/>
    </w:rPr>
  </w:style>
  <w:style w:type="table" w:styleId="ListTable3-Accent5">
    <w:name w:val="List Table 3 Accent 5"/>
    <w:basedOn w:val="TableNormal"/>
    <w:uiPriority w:val="48"/>
    <w:rsid w:val="00023F4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styleId="PlaceholderText">
    <w:name w:val="Placeholder Text"/>
    <w:basedOn w:val="DefaultParagraphFont"/>
    <w:uiPriority w:val="99"/>
    <w:semiHidden/>
    <w:rsid w:val="003078C1"/>
    <w:rPr>
      <w:color w:val="808080"/>
    </w:rPr>
  </w:style>
  <w:style w:type="table" w:styleId="GridTable1Light-Accent2">
    <w:name w:val="Grid Table 1 Light Accent 2"/>
    <w:basedOn w:val="TableNormal"/>
    <w:uiPriority w:val="46"/>
    <w:rsid w:val="008B3FE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8B3FE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3C37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Heading">
    <w:name w:val="Heading"/>
    <w:basedOn w:val="Heading1"/>
    <w:link w:val="HeadingChar"/>
    <w:qFormat/>
    <w:rsid w:val="009E08AC"/>
    <w:pPr>
      <w:spacing w:before="480" w:line="240" w:lineRule="auto"/>
    </w:pPr>
    <w:rPr>
      <w:rFonts w:ascii="Muli" w:hAnsi="Muli"/>
      <w:b/>
      <w:bCs/>
      <w:color w:val="00ABAE"/>
      <w:sz w:val="24"/>
      <w:szCs w:val="28"/>
    </w:rPr>
  </w:style>
  <w:style w:type="character" w:customStyle="1" w:styleId="HeadingChar">
    <w:name w:val="Heading Char"/>
    <w:basedOn w:val="Heading1Char"/>
    <w:link w:val="Heading"/>
    <w:rsid w:val="009E08AC"/>
    <w:rPr>
      <w:rFonts w:ascii="Muli" w:eastAsiaTheme="majorEastAsia" w:hAnsi="Muli" w:cstheme="majorBidi"/>
      <w:b/>
      <w:bCs/>
      <w:color w:val="00ABAE"/>
      <w:sz w:val="24"/>
      <w:szCs w:val="28"/>
    </w:rPr>
  </w:style>
  <w:style w:type="character" w:customStyle="1" w:styleId="Heading2Char">
    <w:name w:val="Heading 2 Char"/>
    <w:basedOn w:val="DefaultParagraphFont"/>
    <w:link w:val="Heading2"/>
    <w:uiPriority w:val="9"/>
    <w:rsid w:val="00820964"/>
    <w:rPr>
      <w:rFonts w:asciiTheme="majorHAnsi" w:eastAsiaTheme="majorEastAsia" w:hAnsiTheme="majorHAnsi" w:cstheme="majorBidi"/>
      <w:b/>
      <w:bCs/>
      <w:color w:val="4472C4" w:themeColor="accent1"/>
      <w:sz w:val="26"/>
      <w:szCs w:val="26"/>
    </w:rPr>
  </w:style>
  <w:style w:type="paragraph" w:styleId="TOC1">
    <w:name w:val="toc 1"/>
    <w:basedOn w:val="Normal"/>
    <w:next w:val="Normal"/>
    <w:autoRedefine/>
    <w:uiPriority w:val="39"/>
    <w:unhideWhenUsed/>
    <w:rsid w:val="009215DD"/>
    <w:pPr>
      <w:spacing w:after="100"/>
    </w:pPr>
  </w:style>
  <w:style w:type="character" w:styleId="Hyperlink">
    <w:name w:val="Hyperlink"/>
    <w:basedOn w:val="DefaultParagraphFont"/>
    <w:uiPriority w:val="99"/>
    <w:unhideWhenUsed/>
    <w:rsid w:val="009215DD"/>
    <w:rPr>
      <w:color w:val="0563C1" w:themeColor="hyperlink"/>
      <w:u w:val="single"/>
    </w:rPr>
  </w:style>
  <w:style w:type="paragraph" w:customStyle="1" w:styleId="Subheading">
    <w:name w:val="Sub_heading"/>
    <w:basedOn w:val="Heading2"/>
    <w:link w:val="SubheadingChar"/>
    <w:qFormat/>
    <w:rsid w:val="00BC1F14"/>
    <w:rPr>
      <w:rFonts w:ascii="Muli" w:hAnsi="Muli"/>
      <w:b w:val="0"/>
      <w:color w:val="00ABAE"/>
      <w:sz w:val="24"/>
    </w:rPr>
  </w:style>
  <w:style w:type="character" w:customStyle="1" w:styleId="SubheadingChar">
    <w:name w:val="Sub_heading Char"/>
    <w:basedOn w:val="Heading2Char"/>
    <w:link w:val="Subheading"/>
    <w:rsid w:val="00BC1F14"/>
    <w:rPr>
      <w:rFonts w:ascii="Muli" w:eastAsiaTheme="majorEastAsia" w:hAnsi="Muli" w:cstheme="majorBidi"/>
      <w:b w:val="0"/>
      <w:bCs/>
      <w:color w:val="00ABAE"/>
      <w:sz w:val="24"/>
      <w:szCs w:val="26"/>
    </w:rPr>
  </w:style>
  <w:style w:type="paragraph" w:customStyle="1" w:styleId="Standfirst">
    <w:name w:val="Standfirst"/>
    <w:basedOn w:val="Heading1"/>
    <w:qFormat/>
    <w:rsid w:val="002605E9"/>
    <w:pPr>
      <w:suppressAutoHyphens/>
      <w:spacing w:before="0" w:after="120" w:line="300" w:lineRule="exact"/>
    </w:pPr>
    <w:rPr>
      <w:rFonts w:ascii="Calibre Light" w:hAnsi="Calibre Light"/>
      <w:color w:val="004EA5"/>
      <w:sz w:val="28"/>
      <w:szCs w:val="28"/>
    </w:rPr>
  </w:style>
  <w:style w:type="paragraph" w:styleId="FootnoteText">
    <w:name w:val="footnote text"/>
    <w:basedOn w:val="Normal"/>
    <w:link w:val="FootnoteTextChar"/>
    <w:uiPriority w:val="99"/>
    <w:unhideWhenUsed/>
    <w:rsid w:val="00C830D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830D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830DC"/>
    <w:rPr>
      <w:vertAlign w:val="superscript"/>
    </w:rPr>
  </w:style>
  <w:style w:type="paragraph" w:customStyle="1" w:styleId="Tableheading">
    <w:name w:val="Table heading"/>
    <w:basedOn w:val="Normal"/>
    <w:uiPriority w:val="14"/>
    <w:qFormat/>
    <w:rsid w:val="00C830DC"/>
    <w:pPr>
      <w:keepNext/>
      <w:spacing w:before="100" w:after="100" w:line="240" w:lineRule="atLeast"/>
    </w:pPr>
    <w:rPr>
      <w:rFonts w:ascii="Jacobs Chronos" w:eastAsiaTheme="minorEastAsia" w:hAnsi="Jacobs Chronos" w:cs="Jacobs Chronos"/>
      <w:b/>
      <w:sz w:val="20"/>
      <w:szCs w:val="24"/>
    </w:rPr>
  </w:style>
  <w:style w:type="paragraph" w:customStyle="1" w:styleId="Tabletext">
    <w:name w:val="Table text"/>
    <w:basedOn w:val="Normal"/>
    <w:uiPriority w:val="14"/>
    <w:qFormat/>
    <w:rsid w:val="00C830DC"/>
    <w:pPr>
      <w:spacing w:before="60" w:after="60" w:line="240" w:lineRule="atLeast"/>
    </w:pPr>
    <w:rPr>
      <w:rFonts w:ascii="Jacobs Chronos" w:eastAsiaTheme="minorEastAsia" w:hAnsi="Jacobs Chronos" w:cs="Jacobs Chronos"/>
      <w:sz w:val="20"/>
      <w:szCs w:val="24"/>
    </w:rPr>
  </w:style>
  <w:style w:type="table" w:styleId="TableGridLight">
    <w:name w:val="Grid Table Light"/>
    <w:basedOn w:val="TableNormal"/>
    <w:uiPriority w:val="40"/>
    <w:rsid w:val="00C830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9E31EE"/>
    <w:pPr>
      <w:spacing w:after="100"/>
      <w:ind w:left="220"/>
    </w:pPr>
  </w:style>
  <w:style w:type="paragraph" w:styleId="ListParagraph">
    <w:name w:val="List Paragraph"/>
    <w:basedOn w:val="Normal"/>
    <w:link w:val="ListParagraphChar"/>
    <w:uiPriority w:val="34"/>
    <w:qFormat/>
    <w:rsid w:val="00F044B9"/>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F044B9"/>
    <w:rPr>
      <w:rFonts w:ascii="Times New Roman" w:eastAsia="Times New Roman" w:hAnsi="Times New Roman" w:cs="Times New Roman"/>
      <w:sz w:val="24"/>
      <w:szCs w:val="24"/>
    </w:rPr>
  </w:style>
  <w:style w:type="paragraph" w:customStyle="1" w:styleId="Bullet">
    <w:name w:val="Bullet"/>
    <w:basedOn w:val="Normal"/>
    <w:uiPriority w:val="99"/>
    <w:rsid w:val="00D51FB8"/>
    <w:pPr>
      <w:numPr>
        <w:numId w:val="1"/>
      </w:numPr>
      <w:spacing w:before="120" w:after="120" w:line="276" w:lineRule="auto"/>
      <w:jc w:val="both"/>
    </w:pPr>
    <w:rPr>
      <w:rFonts w:ascii="Calibri" w:hAnsi="Calibri" w:cs="Times New Roman"/>
      <w:lang w:eastAsia="en-GB"/>
    </w:rPr>
  </w:style>
  <w:style w:type="paragraph" w:customStyle="1" w:styleId="Bullet3">
    <w:name w:val="Bullet 3"/>
    <w:basedOn w:val="Normal"/>
    <w:rsid w:val="00D51FB8"/>
    <w:pPr>
      <w:numPr>
        <w:ilvl w:val="1"/>
        <w:numId w:val="2"/>
      </w:numPr>
      <w:spacing w:before="120" w:after="120" w:line="276" w:lineRule="auto"/>
      <w:ind w:left="0" w:firstLine="0"/>
      <w:jc w:val="both"/>
    </w:pPr>
    <w:rPr>
      <w:rFonts w:ascii="Calibri" w:hAnsi="Calibri" w:cs="Times New Roman"/>
    </w:rPr>
  </w:style>
  <w:style w:type="table" w:styleId="ListTable4-Accent5">
    <w:name w:val="List Table 4 Accent 5"/>
    <w:basedOn w:val="TableNormal"/>
    <w:uiPriority w:val="49"/>
    <w:rsid w:val="00F05E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186EF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umberedparas">
    <w:name w:val="Numbered paras"/>
    <w:basedOn w:val="Heading2"/>
    <w:qFormat/>
    <w:rsid w:val="009072C5"/>
    <w:pPr>
      <w:keepNext w:val="0"/>
      <w:tabs>
        <w:tab w:val="left" w:pos="567"/>
      </w:tabs>
      <w:suppressAutoHyphens/>
      <w:spacing w:before="60" w:after="180" w:line="290" w:lineRule="exact"/>
      <w:ind w:left="567" w:hanging="567"/>
    </w:pPr>
    <w:rPr>
      <w:rFonts w:asciiTheme="minorHAnsi" w:hAnsiTheme="minorHAnsi" w:cs="Times New Roman (Headings CS)"/>
      <w:b w:val="0"/>
      <w:bCs w:val="0"/>
      <w:color w:val="000000" w:themeColor="text1"/>
      <w:sz w:val="22"/>
    </w:rPr>
  </w:style>
  <w:style w:type="table" w:customStyle="1" w:styleId="TableGridOPM1">
    <w:name w:val="Table Grid OPM1"/>
    <w:basedOn w:val="TableNormal"/>
    <w:next w:val="TableGrid"/>
    <w:uiPriority w:val="39"/>
    <w:rsid w:val="009072C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C272F"/>
    <w:pPr>
      <w:spacing w:after="100"/>
      <w:ind w:left="440"/>
    </w:pPr>
    <w:rPr>
      <w:rFonts w:eastAsiaTheme="minorEastAsia"/>
      <w:lang w:eastAsia="en-GB"/>
    </w:rPr>
  </w:style>
  <w:style w:type="paragraph" w:styleId="TOC4">
    <w:name w:val="toc 4"/>
    <w:basedOn w:val="Normal"/>
    <w:next w:val="Normal"/>
    <w:autoRedefine/>
    <w:uiPriority w:val="39"/>
    <w:unhideWhenUsed/>
    <w:rsid w:val="005C272F"/>
    <w:pPr>
      <w:spacing w:after="100"/>
      <w:ind w:left="660"/>
    </w:pPr>
    <w:rPr>
      <w:rFonts w:eastAsiaTheme="minorEastAsia"/>
      <w:lang w:eastAsia="en-GB"/>
    </w:rPr>
  </w:style>
  <w:style w:type="paragraph" w:styleId="TOC5">
    <w:name w:val="toc 5"/>
    <w:basedOn w:val="Normal"/>
    <w:next w:val="Normal"/>
    <w:autoRedefine/>
    <w:uiPriority w:val="39"/>
    <w:unhideWhenUsed/>
    <w:rsid w:val="005C272F"/>
    <w:pPr>
      <w:spacing w:after="100"/>
      <w:ind w:left="880"/>
    </w:pPr>
    <w:rPr>
      <w:rFonts w:eastAsiaTheme="minorEastAsia"/>
      <w:lang w:eastAsia="en-GB"/>
    </w:rPr>
  </w:style>
  <w:style w:type="paragraph" w:styleId="TOC6">
    <w:name w:val="toc 6"/>
    <w:basedOn w:val="Normal"/>
    <w:next w:val="Normal"/>
    <w:autoRedefine/>
    <w:uiPriority w:val="39"/>
    <w:unhideWhenUsed/>
    <w:rsid w:val="005C272F"/>
    <w:pPr>
      <w:spacing w:after="100"/>
      <w:ind w:left="1100"/>
    </w:pPr>
    <w:rPr>
      <w:rFonts w:eastAsiaTheme="minorEastAsia"/>
      <w:lang w:eastAsia="en-GB"/>
    </w:rPr>
  </w:style>
  <w:style w:type="paragraph" w:styleId="TOC7">
    <w:name w:val="toc 7"/>
    <w:basedOn w:val="Normal"/>
    <w:next w:val="Normal"/>
    <w:autoRedefine/>
    <w:uiPriority w:val="39"/>
    <w:unhideWhenUsed/>
    <w:rsid w:val="005C272F"/>
    <w:pPr>
      <w:spacing w:after="100"/>
      <w:ind w:left="1320"/>
    </w:pPr>
    <w:rPr>
      <w:rFonts w:eastAsiaTheme="minorEastAsia"/>
      <w:lang w:eastAsia="en-GB"/>
    </w:rPr>
  </w:style>
  <w:style w:type="paragraph" w:styleId="TOC8">
    <w:name w:val="toc 8"/>
    <w:basedOn w:val="Normal"/>
    <w:next w:val="Normal"/>
    <w:autoRedefine/>
    <w:uiPriority w:val="39"/>
    <w:unhideWhenUsed/>
    <w:rsid w:val="005C272F"/>
    <w:pPr>
      <w:spacing w:after="100"/>
      <w:ind w:left="1540"/>
    </w:pPr>
    <w:rPr>
      <w:rFonts w:eastAsiaTheme="minorEastAsia"/>
      <w:lang w:eastAsia="en-GB"/>
    </w:rPr>
  </w:style>
  <w:style w:type="paragraph" w:styleId="TOC9">
    <w:name w:val="toc 9"/>
    <w:basedOn w:val="Normal"/>
    <w:next w:val="Normal"/>
    <w:autoRedefine/>
    <w:uiPriority w:val="39"/>
    <w:unhideWhenUsed/>
    <w:rsid w:val="005C272F"/>
    <w:pPr>
      <w:spacing w:after="100"/>
      <w:ind w:left="1760"/>
    </w:pPr>
    <w:rPr>
      <w:rFonts w:eastAsiaTheme="minorEastAsia"/>
      <w:lang w:eastAsia="en-GB"/>
    </w:rPr>
  </w:style>
  <w:style w:type="character" w:styleId="UnresolvedMention">
    <w:name w:val="Unresolved Mention"/>
    <w:basedOn w:val="DefaultParagraphFont"/>
    <w:uiPriority w:val="99"/>
    <w:semiHidden/>
    <w:unhideWhenUsed/>
    <w:rsid w:val="005C272F"/>
    <w:rPr>
      <w:color w:val="605E5C"/>
      <w:shd w:val="clear" w:color="auto" w:fill="E1DFDD"/>
    </w:rPr>
  </w:style>
  <w:style w:type="character" w:styleId="CommentReference">
    <w:name w:val="annotation reference"/>
    <w:basedOn w:val="DefaultParagraphFont"/>
    <w:uiPriority w:val="99"/>
    <w:semiHidden/>
    <w:unhideWhenUsed/>
    <w:rsid w:val="00214CF9"/>
    <w:rPr>
      <w:sz w:val="16"/>
      <w:szCs w:val="16"/>
    </w:rPr>
  </w:style>
  <w:style w:type="paragraph" w:styleId="CommentText">
    <w:name w:val="annotation text"/>
    <w:basedOn w:val="Normal"/>
    <w:link w:val="CommentTextChar"/>
    <w:uiPriority w:val="99"/>
    <w:unhideWhenUsed/>
    <w:rsid w:val="00214CF9"/>
    <w:pPr>
      <w:spacing w:line="240" w:lineRule="auto"/>
    </w:pPr>
    <w:rPr>
      <w:sz w:val="20"/>
      <w:szCs w:val="20"/>
    </w:rPr>
  </w:style>
  <w:style w:type="character" w:customStyle="1" w:styleId="CommentTextChar">
    <w:name w:val="Comment Text Char"/>
    <w:basedOn w:val="DefaultParagraphFont"/>
    <w:link w:val="CommentText"/>
    <w:uiPriority w:val="99"/>
    <w:rsid w:val="00214CF9"/>
    <w:rPr>
      <w:sz w:val="20"/>
      <w:szCs w:val="20"/>
    </w:rPr>
  </w:style>
  <w:style w:type="paragraph" w:styleId="CommentSubject">
    <w:name w:val="annotation subject"/>
    <w:basedOn w:val="CommentText"/>
    <w:next w:val="CommentText"/>
    <w:link w:val="CommentSubjectChar"/>
    <w:uiPriority w:val="99"/>
    <w:semiHidden/>
    <w:unhideWhenUsed/>
    <w:rsid w:val="00214CF9"/>
    <w:rPr>
      <w:b/>
      <w:bCs/>
    </w:rPr>
  </w:style>
  <w:style w:type="character" w:customStyle="1" w:styleId="CommentSubjectChar">
    <w:name w:val="Comment Subject Char"/>
    <w:basedOn w:val="CommentTextChar"/>
    <w:link w:val="CommentSubject"/>
    <w:uiPriority w:val="99"/>
    <w:semiHidden/>
    <w:rsid w:val="00214CF9"/>
    <w:rPr>
      <w:b/>
      <w:bCs/>
      <w:sz w:val="20"/>
      <w:szCs w:val="20"/>
    </w:rPr>
  </w:style>
  <w:style w:type="character" w:styleId="FollowedHyperlink">
    <w:name w:val="FollowedHyperlink"/>
    <w:basedOn w:val="DefaultParagraphFont"/>
    <w:uiPriority w:val="99"/>
    <w:semiHidden/>
    <w:unhideWhenUsed/>
    <w:rsid w:val="00C36C6E"/>
    <w:rPr>
      <w:color w:val="954F72" w:themeColor="followedHyperlink"/>
      <w:u w:val="single"/>
    </w:rPr>
  </w:style>
  <w:style w:type="table" w:styleId="GridTable4-Accent1">
    <w:name w:val="Grid Table 4 Accent 1"/>
    <w:basedOn w:val="TableNormal"/>
    <w:uiPriority w:val="49"/>
    <w:rsid w:val="00ED47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194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31774F"/>
    <w:rPr>
      <w:rFonts w:asciiTheme="majorHAnsi" w:eastAsiaTheme="majorEastAsia" w:hAnsiTheme="majorHAnsi" w:cstheme="majorBidi"/>
      <w:color w:val="1F3763" w:themeColor="accent1" w:themeShade="7F"/>
      <w:sz w:val="24"/>
      <w:szCs w:val="24"/>
    </w:rPr>
  </w:style>
  <w:style w:type="table" w:customStyle="1" w:styleId="LightShading1">
    <w:name w:val="Light Shading1"/>
    <w:basedOn w:val="TableNormal"/>
    <w:uiPriority w:val="60"/>
    <w:rsid w:val="003177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1">
    <w:name w:val="Medium Grid 3 Accent 1"/>
    <w:basedOn w:val="TableNormal"/>
    <w:uiPriority w:val="69"/>
    <w:rsid w:val="003177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BalloonText">
    <w:name w:val="Balloon Text"/>
    <w:basedOn w:val="Normal"/>
    <w:link w:val="BalloonTextChar"/>
    <w:semiHidden/>
    <w:unhideWhenUsed/>
    <w:rsid w:val="00317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74F"/>
    <w:rPr>
      <w:rFonts w:ascii="Tahoma" w:hAnsi="Tahoma" w:cs="Tahoma"/>
      <w:sz w:val="16"/>
      <w:szCs w:val="16"/>
    </w:rPr>
  </w:style>
  <w:style w:type="table" w:styleId="LightShading-Accent1">
    <w:name w:val="Light Shading Accent 1"/>
    <w:basedOn w:val="TableNormal"/>
    <w:uiPriority w:val="60"/>
    <w:rsid w:val="0031774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lockText">
    <w:name w:val="Block Text"/>
    <w:basedOn w:val="Normal"/>
    <w:rsid w:val="007D1218"/>
    <w:pPr>
      <w:spacing w:after="0" w:line="240" w:lineRule="auto"/>
      <w:ind w:left="1800" w:right="1826"/>
    </w:pPr>
    <w:rPr>
      <w:rFonts w:ascii="Arial" w:eastAsia="Times New Roman" w:hAnsi="Arial" w:cs="Times New Roman"/>
      <w:sz w:val="24"/>
      <w:szCs w:val="24"/>
    </w:rPr>
  </w:style>
  <w:style w:type="paragraph" w:customStyle="1" w:styleId="SubHeading0">
    <w:name w:val="Sub Heading"/>
    <w:basedOn w:val="Heading"/>
    <w:rsid w:val="007D1218"/>
    <w:pPr>
      <w:keepNext w:val="0"/>
      <w:keepLines w:val="0"/>
      <w:spacing w:before="200" w:after="100"/>
      <w:ind w:left="1797" w:right="1826"/>
      <w:outlineLvl w:val="9"/>
    </w:pPr>
    <w:rPr>
      <w:rFonts w:ascii="Arial" w:eastAsia="Times New Roman" w:hAnsi="Arial" w:cs="Times New Roman"/>
      <w:b w:val="0"/>
      <w:bCs w:val="0"/>
      <w:color w:val="192C63"/>
      <w:szCs w:val="24"/>
    </w:rPr>
  </w:style>
  <w:style w:type="paragraph" w:customStyle="1" w:styleId="Text">
    <w:name w:val="Text"/>
    <w:basedOn w:val="Normal"/>
    <w:rsid w:val="007D1218"/>
    <w:pPr>
      <w:spacing w:after="100" w:line="240" w:lineRule="auto"/>
      <w:ind w:left="1701" w:right="1701"/>
    </w:pPr>
    <w:rPr>
      <w:rFonts w:ascii="Arial" w:eastAsia="Times New Roman" w:hAnsi="Arial" w:cs="Times New Roman"/>
      <w:sz w:val="20"/>
      <w:szCs w:val="24"/>
    </w:rPr>
  </w:style>
  <w:style w:type="character" w:styleId="PageNumber">
    <w:name w:val="page number"/>
    <w:basedOn w:val="DefaultParagraphFont"/>
    <w:rsid w:val="007D1218"/>
  </w:style>
  <w:style w:type="paragraph" w:customStyle="1" w:styleId="Default">
    <w:name w:val="Default"/>
    <w:rsid w:val="007D121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7D1218"/>
    <w:pPr>
      <w:spacing w:before="100" w:beforeAutospacing="1" w:after="0" w:line="240" w:lineRule="auto"/>
      <w:ind w:left="432"/>
      <w:jc w:val="both"/>
      <w:outlineLvl w:val="0"/>
    </w:pPr>
    <w:rPr>
      <w:rFonts w:ascii="Arial" w:eastAsia="Arial Unicode MS" w:hAnsi="Arial" w:cs="Arial"/>
      <w:sz w:val="24"/>
      <w:szCs w:val="24"/>
    </w:rPr>
  </w:style>
  <w:style w:type="character" w:customStyle="1" w:styleId="BodyTextChar">
    <w:name w:val="Body Text Char"/>
    <w:basedOn w:val="DefaultParagraphFont"/>
    <w:link w:val="BodyText"/>
    <w:rsid w:val="007D1218"/>
    <w:rPr>
      <w:rFonts w:ascii="Arial" w:eastAsia="Arial Unicode MS" w:hAnsi="Arial" w:cs="Arial"/>
      <w:sz w:val="24"/>
      <w:szCs w:val="24"/>
    </w:rPr>
  </w:style>
  <w:style w:type="paragraph" w:customStyle="1" w:styleId="AMP4NORMAL">
    <w:name w:val="AMP4 NORMAL"/>
    <w:basedOn w:val="Header"/>
    <w:rsid w:val="007D1218"/>
    <w:pPr>
      <w:tabs>
        <w:tab w:val="clear" w:pos="4513"/>
        <w:tab w:val="clear" w:pos="9026"/>
      </w:tabs>
    </w:pPr>
    <w:rPr>
      <w:rFonts w:ascii="Arial" w:eastAsia="Times New Roman" w:hAnsi="Arial" w:cs="Times New Roman"/>
      <w:sz w:val="20"/>
      <w:szCs w:val="20"/>
      <w:lang w:eastAsia="en-GB"/>
    </w:rPr>
  </w:style>
  <w:style w:type="paragraph" w:styleId="Title">
    <w:name w:val="Title"/>
    <w:basedOn w:val="Normal"/>
    <w:next w:val="Normal"/>
    <w:link w:val="TitleChar"/>
    <w:uiPriority w:val="10"/>
    <w:qFormat/>
    <w:rsid w:val="007D1218"/>
    <w:pPr>
      <w:pBdr>
        <w:bottom w:val="single" w:sz="8" w:space="4" w:color="4F81BD"/>
      </w:pBdr>
      <w:spacing w:after="300" w:line="240" w:lineRule="auto"/>
      <w:contextualSpacing/>
    </w:pPr>
    <w:rPr>
      <w:rFonts w:ascii="Calibri" w:eastAsia="MS Gothic" w:hAnsi="Calibri" w:cs="Times New Roman"/>
      <w:color w:val="7F7F7F"/>
      <w:spacing w:val="5"/>
      <w:kern w:val="28"/>
      <w:sz w:val="52"/>
      <w:szCs w:val="52"/>
    </w:rPr>
  </w:style>
  <w:style w:type="character" w:customStyle="1" w:styleId="TitleChar">
    <w:name w:val="Title Char"/>
    <w:basedOn w:val="DefaultParagraphFont"/>
    <w:link w:val="Title"/>
    <w:uiPriority w:val="10"/>
    <w:rsid w:val="007D1218"/>
    <w:rPr>
      <w:rFonts w:ascii="Calibri" w:eastAsia="MS Gothic" w:hAnsi="Calibri" w:cs="Times New Roman"/>
      <w:color w:val="7F7F7F"/>
      <w:spacing w:val="5"/>
      <w:kern w:val="28"/>
      <w:sz w:val="52"/>
      <w:szCs w:val="52"/>
    </w:rPr>
  </w:style>
  <w:style w:type="paragraph" w:styleId="Revision">
    <w:name w:val="Revision"/>
    <w:hidden/>
    <w:uiPriority w:val="99"/>
    <w:semiHidden/>
    <w:rsid w:val="007D1218"/>
    <w:pPr>
      <w:spacing w:after="0" w:line="240" w:lineRule="auto"/>
    </w:pPr>
    <w:rPr>
      <w:rFonts w:ascii="Arial" w:eastAsia="Times New Roman" w:hAnsi="Arial" w:cs="Times New Roman"/>
      <w:sz w:val="24"/>
      <w:szCs w:val="24"/>
    </w:rPr>
  </w:style>
  <w:style w:type="numbering" w:customStyle="1" w:styleId="Style1">
    <w:name w:val="Style1"/>
    <w:uiPriority w:val="99"/>
    <w:rsid w:val="007D1218"/>
    <w:pPr>
      <w:numPr>
        <w:numId w:val="10"/>
      </w:numPr>
    </w:pPr>
  </w:style>
  <w:style w:type="paragraph" w:customStyle="1" w:styleId="Pa2">
    <w:name w:val="Pa2"/>
    <w:basedOn w:val="Default"/>
    <w:next w:val="Default"/>
    <w:uiPriority w:val="99"/>
    <w:rsid w:val="007D1218"/>
    <w:pPr>
      <w:spacing w:line="181" w:lineRule="atLeast"/>
    </w:pPr>
    <w:rPr>
      <w:rFonts w:ascii="Calibre Bold" w:hAnsi="Calibre Bold"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2594">
      <w:bodyDiv w:val="1"/>
      <w:marLeft w:val="0"/>
      <w:marRight w:val="0"/>
      <w:marTop w:val="0"/>
      <w:marBottom w:val="0"/>
      <w:divBdr>
        <w:top w:val="none" w:sz="0" w:space="0" w:color="auto"/>
        <w:left w:val="none" w:sz="0" w:space="0" w:color="auto"/>
        <w:bottom w:val="none" w:sz="0" w:space="0" w:color="auto"/>
        <w:right w:val="none" w:sz="0" w:space="0" w:color="auto"/>
      </w:divBdr>
    </w:div>
    <w:div w:id="451244980">
      <w:bodyDiv w:val="1"/>
      <w:marLeft w:val="0"/>
      <w:marRight w:val="0"/>
      <w:marTop w:val="0"/>
      <w:marBottom w:val="0"/>
      <w:divBdr>
        <w:top w:val="none" w:sz="0" w:space="0" w:color="auto"/>
        <w:left w:val="none" w:sz="0" w:space="0" w:color="auto"/>
        <w:bottom w:val="none" w:sz="0" w:space="0" w:color="auto"/>
        <w:right w:val="none" w:sz="0" w:space="0" w:color="auto"/>
      </w:divBdr>
    </w:div>
    <w:div w:id="675690964">
      <w:bodyDiv w:val="1"/>
      <w:marLeft w:val="0"/>
      <w:marRight w:val="0"/>
      <w:marTop w:val="0"/>
      <w:marBottom w:val="0"/>
      <w:divBdr>
        <w:top w:val="none" w:sz="0" w:space="0" w:color="auto"/>
        <w:left w:val="none" w:sz="0" w:space="0" w:color="auto"/>
        <w:bottom w:val="none" w:sz="0" w:space="0" w:color="auto"/>
        <w:right w:val="none" w:sz="0" w:space="0" w:color="auto"/>
      </w:divBdr>
    </w:div>
    <w:div w:id="1213616649">
      <w:bodyDiv w:val="1"/>
      <w:marLeft w:val="0"/>
      <w:marRight w:val="0"/>
      <w:marTop w:val="0"/>
      <w:marBottom w:val="0"/>
      <w:divBdr>
        <w:top w:val="none" w:sz="0" w:space="0" w:color="auto"/>
        <w:left w:val="none" w:sz="0" w:space="0" w:color="auto"/>
        <w:bottom w:val="none" w:sz="0" w:space="0" w:color="auto"/>
        <w:right w:val="none" w:sz="0" w:space="0" w:color="auto"/>
      </w:divBdr>
    </w:div>
    <w:div w:id="1403990731">
      <w:bodyDiv w:val="1"/>
      <w:marLeft w:val="0"/>
      <w:marRight w:val="0"/>
      <w:marTop w:val="0"/>
      <w:marBottom w:val="0"/>
      <w:divBdr>
        <w:top w:val="none" w:sz="0" w:space="0" w:color="auto"/>
        <w:left w:val="none" w:sz="0" w:space="0" w:color="auto"/>
        <w:bottom w:val="none" w:sz="0" w:space="0" w:color="auto"/>
        <w:right w:val="none" w:sz="0" w:space="0" w:color="auto"/>
      </w:divBdr>
    </w:div>
    <w:div w:id="1703169825">
      <w:bodyDiv w:val="1"/>
      <w:marLeft w:val="0"/>
      <w:marRight w:val="0"/>
      <w:marTop w:val="0"/>
      <w:marBottom w:val="0"/>
      <w:divBdr>
        <w:top w:val="none" w:sz="0" w:space="0" w:color="auto"/>
        <w:left w:val="none" w:sz="0" w:space="0" w:color="auto"/>
        <w:bottom w:val="none" w:sz="0" w:space="0" w:color="auto"/>
        <w:right w:val="none" w:sz="0" w:space="0" w:color="auto"/>
      </w:divBdr>
    </w:div>
    <w:div w:id="1792632740">
      <w:bodyDiv w:val="1"/>
      <w:marLeft w:val="0"/>
      <w:marRight w:val="0"/>
      <w:marTop w:val="0"/>
      <w:marBottom w:val="0"/>
      <w:divBdr>
        <w:top w:val="none" w:sz="0" w:space="0" w:color="auto"/>
        <w:left w:val="none" w:sz="0" w:space="0" w:color="auto"/>
        <w:bottom w:val="none" w:sz="0" w:space="0" w:color="auto"/>
        <w:right w:val="none" w:sz="0" w:space="0" w:color="auto"/>
      </w:divBdr>
    </w:div>
    <w:div w:id="189369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2708816A-5483-4D1F-AC8A-FCB872E3685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C60D2B40AD624EAF8C6F9BEE04A4DA" ma:contentTypeVersion="6" ma:contentTypeDescription="Create a new document." ma:contentTypeScope="" ma:versionID="f328fb5db2c9cc7752adeeed48da9db2">
  <xsd:schema xmlns:xsd="http://www.w3.org/2001/XMLSchema" xmlns:xs="http://www.w3.org/2001/XMLSchema" xmlns:p="http://schemas.microsoft.com/office/2006/metadata/properties" xmlns:ns2="3c0c5d45-c50a-4fcf-bef2-99bd0e8843f7" xmlns:ns3="c06bccfe-9511-4905-847e-1faf32be5bb6" targetNamespace="http://schemas.microsoft.com/office/2006/metadata/properties" ma:root="true" ma:fieldsID="b30407ab59ec0f6c127a6e3ac6e10242" ns2:_="" ns3:_="">
    <xsd:import namespace="3c0c5d45-c50a-4fcf-bef2-99bd0e8843f7"/>
    <xsd:import namespace="c06bccfe-9511-4905-847e-1faf32be5b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c5d45-c50a-4fcf-bef2-99bd0e884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6bccfe-9511-4905-847e-1faf32be5b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23A4F-1C5D-476E-98F4-82108A3CF1F6}">
  <ds:schemaRefs>
    <ds:schemaRef ds:uri="http://schemas.microsoft.com/sharepoint/v3/contenttype/forms"/>
  </ds:schemaRefs>
</ds:datastoreItem>
</file>

<file path=customXml/itemProps2.xml><?xml version="1.0" encoding="utf-8"?>
<ds:datastoreItem xmlns:ds="http://schemas.openxmlformats.org/officeDocument/2006/customXml" ds:itemID="{C21B4A98-659E-422E-B647-E239AB3500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D7B530-FF53-4A7B-BD66-53971FEDE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c5d45-c50a-4fcf-bef2-99bd0e8843f7"/>
    <ds:schemaRef ds:uri="c06bccfe-9511-4905-847e-1faf32be5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AA8F41-428F-439B-B9F6-8B73431F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7963</Words>
  <Characters>45395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METHODOLOGY STATEMENT for               Annual performance Table</vt:lpstr>
    </vt:vector>
  </TitlesOfParts>
  <Company>South West Water</Company>
  <LinksUpToDate>false</LinksUpToDate>
  <CharactersWithSpaces>53252</CharactersWithSpaces>
  <SharedDoc>false</SharedDoc>
  <HLinks>
    <vt:vector size="156" baseType="variant">
      <vt:variant>
        <vt:i4>4784128</vt:i4>
      </vt:variant>
      <vt:variant>
        <vt:i4>144</vt:i4>
      </vt:variant>
      <vt:variant>
        <vt:i4>0</vt:i4>
      </vt:variant>
      <vt:variant>
        <vt:i4>5</vt:i4>
      </vt:variant>
      <vt:variant>
        <vt:lpwstr>https://app.diagrams.net/</vt:lpwstr>
      </vt:variant>
      <vt:variant>
        <vt:lpwstr/>
      </vt:variant>
      <vt:variant>
        <vt:i4>4784214</vt:i4>
      </vt:variant>
      <vt:variant>
        <vt:i4>141</vt:i4>
      </vt:variant>
      <vt:variant>
        <vt:i4>0</vt:i4>
      </vt:variant>
      <vt:variant>
        <vt:i4>5</vt:i4>
      </vt:variant>
      <vt:variant>
        <vt:lpwstr/>
      </vt:variant>
      <vt:variant>
        <vt:lpwstr>_APPENDIX_6</vt:lpwstr>
      </vt:variant>
      <vt:variant>
        <vt:i4>4784214</vt:i4>
      </vt:variant>
      <vt:variant>
        <vt:i4>138</vt:i4>
      </vt:variant>
      <vt:variant>
        <vt:i4>0</vt:i4>
      </vt:variant>
      <vt:variant>
        <vt:i4>5</vt:i4>
      </vt:variant>
      <vt:variant>
        <vt:lpwstr/>
      </vt:variant>
      <vt:variant>
        <vt:lpwstr>_APPENDIX_4</vt:lpwstr>
      </vt:variant>
      <vt:variant>
        <vt:i4>4784214</vt:i4>
      </vt:variant>
      <vt:variant>
        <vt:i4>135</vt:i4>
      </vt:variant>
      <vt:variant>
        <vt:i4>0</vt:i4>
      </vt:variant>
      <vt:variant>
        <vt:i4>5</vt:i4>
      </vt:variant>
      <vt:variant>
        <vt:lpwstr/>
      </vt:variant>
      <vt:variant>
        <vt:lpwstr>_APPENDIX_3</vt:lpwstr>
      </vt:variant>
      <vt:variant>
        <vt:i4>1769522</vt:i4>
      </vt:variant>
      <vt:variant>
        <vt:i4>128</vt:i4>
      </vt:variant>
      <vt:variant>
        <vt:i4>0</vt:i4>
      </vt:variant>
      <vt:variant>
        <vt:i4>5</vt:i4>
      </vt:variant>
      <vt:variant>
        <vt:lpwstr/>
      </vt:variant>
      <vt:variant>
        <vt:lpwstr>_Toc156475284</vt:lpwstr>
      </vt:variant>
      <vt:variant>
        <vt:i4>1769522</vt:i4>
      </vt:variant>
      <vt:variant>
        <vt:i4>122</vt:i4>
      </vt:variant>
      <vt:variant>
        <vt:i4>0</vt:i4>
      </vt:variant>
      <vt:variant>
        <vt:i4>5</vt:i4>
      </vt:variant>
      <vt:variant>
        <vt:lpwstr/>
      </vt:variant>
      <vt:variant>
        <vt:lpwstr>_Toc156475283</vt:lpwstr>
      </vt:variant>
      <vt:variant>
        <vt:i4>1769522</vt:i4>
      </vt:variant>
      <vt:variant>
        <vt:i4>116</vt:i4>
      </vt:variant>
      <vt:variant>
        <vt:i4>0</vt:i4>
      </vt:variant>
      <vt:variant>
        <vt:i4>5</vt:i4>
      </vt:variant>
      <vt:variant>
        <vt:lpwstr/>
      </vt:variant>
      <vt:variant>
        <vt:lpwstr>_Toc156475282</vt:lpwstr>
      </vt:variant>
      <vt:variant>
        <vt:i4>1769522</vt:i4>
      </vt:variant>
      <vt:variant>
        <vt:i4>110</vt:i4>
      </vt:variant>
      <vt:variant>
        <vt:i4>0</vt:i4>
      </vt:variant>
      <vt:variant>
        <vt:i4>5</vt:i4>
      </vt:variant>
      <vt:variant>
        <vt:lpwstr/>
      </vt:variant>
      <vt:variant>
        <vt:lpwstr>_Toc156475281</vt:lpwstr>
      </vt:variant>
      <vt:variant>
        <vt:i4>1769522</vt:i4>
      </vt:variant>
      <vt:variant>
        <vt:i4>104</vt:i4>
      </vt:variant>
      <vt:variant>
        <vt:i4>0</vt:i4>
      </vt:variant>
      <vt:variant>
        <vt:i4>5</vt:i4>
      </vt:variant>
      <vt:variant>
        <vt:lpwstr/>
      </vt:variant>
      <vt:variant>
        <vt:lpwstr>_Toc156475280</vt:lpwstr>
      </vt:variant>
      <vt:variant>
        <vt:i4>1310770</vt:i4>
      </vt:variant>
      <vt:variant>
        <vt:i4>98</vt:i4>
      </vt:variant>
      <vt:variant>
        <vt:i4>0</vt:i4>
      </vt:variant>
      <vt:variant>
        <vt:i4>5</vt:i4>
      </vt:variant>
      <vt:variant>
        <vt:lpwstr/>
      </vt:variant>
      <vt:variant>
        <vt:lpwstr>_Toc156475279</vt:lpwstr>
      </vt:variant>
      <vt:variant>
        <vt:i4>1310770</vt:i4>
      </vt:variant>
      <vt:variant>
        <vt:i4>92</vt:i4>
      </vt:variant>
      <vt:variant>
        <vt:i4>0</vt:i4>
      </vt:variant>
      <vt:variant>
        <vt:i4>5</vt:i4>
      </vt:variant>
      <vt:variant>
        <vt:lpwstr/>
      </vt:variant>
      <vt:variant>
        <vt:lpwstr>_Toc156475278</vt:lpwstr>
      </vt:variant>
      <vt:variant>
        <vt:i4>1310770</vt:i4>
      </vt:variant>
      <vt:variant>
        <vt:i4>86</vt:i4>
      </vt:variant>
      <vt:variant>
        <vt:i4>0</vt:i4>
      </vt:variant>
      <vt:variant>
        <vt:i4>5</vt:i4>
      </vt:variant>
      <vt:variant>
        <vt:lpwstr/>
      </vt:variant>
      <vt:variant>
        <vt:lpwstr>_Toc156475277</vt:lpwstr>
      </vt:variant>
      <vt:variant>
        <vt:i4>1310770</vt:i4>
      </vt:variant>
      <vt:variant>
        <vt:i4>80</vt:i4>
      </vt:variant>
      <vt:variant>
        <vt:i4>0</vt:i4>
      </vt:variant>
      <vt:variant>
        <vt:i4>5</vt:i4>
      </vt:variant>
      <vt:variant>
        <vt:lpwstr/>
      </vt:variant>
      <vt:variant>
        <vt:lpwstr>_Toc156475276</vt:lpwstr>
      </vt:variant>
      <vt:variant>
        <vt:i4>1310770</vt:i4>
      </vt:variant>
      <vt:variant>
        <vt:i4>74</vt:i4>
      </vt:variant>
      <vt:variant>
        <vt:i4>0</vt:i4>
      </vt:variant>
      <vt:variant>
        <vt:i4>5</vt:i4>
      </vt:variant>
      <vt:variant>
        <vt:lpwstr/>
      </vt:variant>
      <vt:variant>
        <vt:lpwstr>_Toc156475275</vt:lpwstr>
      </vt:variant>
      <vt:variant>
        <vt:i4>1310770</vt:i4>
      </vt:variant>
      <vt:variant>
        <vt:i4>68</vt:i4>
      </vt:variant>
      <vt:variant>
        <vt:i4>0</vt:i4>
      </vt:variant>
      <vt:variant>
        <vt:i4>5</vt:i4>
      </vt:variant>
      <vt:variant>
        <vt:lpwstr/>
      </vt:variant>
      <vt:variant>
        <vt:lpwstr>_Toc156475274</vt:lpwstr>
      </vt:variant>
      <vt:variant>
        <vt:i4>1310770</vt:i4>
      </vt:variant>
      <vt:variant>
        <vt:i4>62</vt:i4>
      </vt:variant>
      <vt:variant>
        <vt:i4>0</vt:i4>
      </vt:variant>
      <vt:variant>
        <vt:i4>5</vt:i4>
      </vt:variant>
      <vt:variant>
        <vt:lpwstr/>
      </vt:variant>
      <vt:variant>
        <vt:lpwstr>_Toc156475273</vt:lpwstr>
      </vt:variant>
      <vt:variant>
        <vt:i4>1310770</vt:i4>
      </vt:variant>
      <vt:variant>
        <vt:i4>56</vt:i4>
      </vt:variant>
      <vt:variant>
        <vt:i4>0</vt:i4>
      </vt:variant>
      <vt:variant>
        <vt:i4>5</vt:i4>
      </vt:variant>
      <vt:variant>
        <vt:lpwstr/>
      </vt:variant>
      <vt:variant>
        <vt:lpwstr>_Toc156475272</vt:lpwstr>
      </vt:variant>
      <vt:variant>
        <vt:i4>1310770</vt:i4>
      </vt:variant>
      <vt:variant>
        <vt:i4>50</vt:i4>
      </vt:variant>
      <vt:variant>
        <vt:i4>0</vt:i4>
      </vt:variant>
      <vt:variant>
        <vt:i4>5</vt:i4>
      </vt:variant>
      <vt:variant>
        <vt:lpwstr/>
      </vt:variant>
      <vt:variant>
        <vt:lpwstr>_Toc156475271</vt:lpwstr>
      </vt:variant>
      <vt:variant>
        <vt:i4>1310770</vt:i4>
      </vt:variant>
      <vt:variant>
        <vt:i4>44</vt:i4>
      </vt:variant>
      <vt:variant>
        <vt:i4>0</vt:i4>
      </vt:variant>
      <vt:variant>
        <vt:i4>5</vt:i4>
      </vt:variant>
      <vt:variant>
        <vt:lpwstr/>
      </vt:variant>
      <vt:variant>
        <vt:lpwstr>_Toc156475270</vt:lpwstr>
      </vt:variant>
      <vt:variant>
        <vt:i4>1376306</vt:i4>
      </vt:variant>
      <vt:variant>
        <vt:i4>38</vt:i4>
      </vt:variant>
      <vt:variant>
        <vt:i4>0</vt:i4>
      </vt:variant>
      <vt:variant>
        <vt:i4>5</vt:i4>
      </vt:variant>
      <vt:variant>
        <vt:lpwstr/>
      </vt:variant>
      <vt:variant>
        <vt:lpwstr>_Toc156475269</vt:lpwstr>
      </vt:variant>
      <vt:variant>
        <vt:i4>1376306</vt:i4>
      </vt:variant>
      <vt:variant>
        <vt:i4>32</vt:i4>
      </vt:variant>
      <vt:variant>
        <vt:i4>0</vt:i4>
      </vt:variant>
      <vt:variant>
        <vt:i4>5</vt:i4>
      </vt:variant>
      <vt:variant>
        <vt:lpwstr/>
      </vt:variant>
      <vt:variant>
        <vt:lpwstr>_Toc156475268</vt:lpwstr>
      </vt:variant>
      <vt:variant>
        <vt:i4>1376306</vt:i4>
      </vt:variant>
      <vt:variant>
        <vt:i4>26</vt:i4>
      </vt:variant>
      <vt:variant>
        <vt:i4>0</vt:i4>
      </vt:variant>
      <vt:variant>
        <vt:i4>5</vt:i4>
      </vt:variant>
      <vt:variant>
        <vt:lpwstr/>
      </vt:variant>
      <vt:variant>
        <vt:lpwstr>_Toc156475267</vt:lpwstr>
      </vt:variant>
      <vt:variant>
        <vt:i4>1376306</vt:i4>
      </vt:variant>
      <vt:variant>
        <vt:i4>20</vt:i4>
      </vt:variant>
      <vt:variant>
        <vt:i4>0</vt:i4>
      </vt:variant>
      <vt:variant>
        <vt:i4>5</vt:i4>
      </vt:variant>
      <vt:variant>
        <vt:lpwstr/>
      </vt:variant>
      <vt:variant>
        <vt:lpwstr>_Toc156475266</vt:lpwstr>
      </vt:variant>
      <vt:variant>
        <vt:i4>1376306</vt:i4>
      </vt:variant>
      <vt:variant>
        <vt:i4>14</vt:i4>
      </vt:variant>
      <vt:variant>
        <vt:i4>0</vt:i4>
      </vt:variant>
      <vt:variant>
        <vt:i4>5</vt:i4>
      </vt:variant>
      <vt:variant>
        <vt:lpwstr/>
      </vt:variant>
      <vt:variant>
        <vt:lpwstr>_Toc156475265</vt:lpwstr>
      </vt:variant>
      <vt:variant>
        <vt:i4>1376306</vt:i4>
      </vt:variant>
      <vt:variant>
        <vt:i4>8</vt:i4>
      </vt:variant>
      <vt:variant>
        <vt:i4>0</vt:i4>
      </vt:variant>
      <vt:variant>
        <vt:i4>5</vt:i4>
      </vt:variant>
      <vt:variant>
        <vt:lpwstr/>
      </vt:variant>
      <vt:variant>
        <vt:lpwstr>_Toc156475264</vt:lpwstr>
      </vt:variant>
      <vt:variant>
        <vt:i4>1376306</vt:i4>
      </vt:variant>
      <vt:variant>
        <vt:i4>2</vt:i4>
      </vt:variant>
      <vt:variant>
        <vt:i4>0</vt:i4>
      </vt:variant>
      <vt:variant>
        <vt:i4>5</vt:i4>
      </vt:variant>
      <vt:variant>
        <vt:lpwstr/>
      </vt:variant>
      <vt:variant>
        <vt:lpwstr>_Toc156475263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STATEMENT for               Annual performance Table</dc:title>
  <dc:subject>Report Specification</dc:subject>
  <dc:creator>Puttergill, Sharon</dc:creator>
  <cp:keywords/>
  <dc:description/>
  <cp:lastModifiedBy>Puttergill, Sharon</cp:lastModifiedBy>
  <cp:revision>4</cp:revision>
  <cp:lastPrinted>2024-04-03T14:10:00Z</cp:lastPrinted>
  <dcterms:created xsi:type="dcterms:W3CDTF">2024-07-16T09:47:00Z</dcterms:created>
  <dcterms:modified xsi:type="dcterms:W3CDTF">2024-07-16T09:48:00Z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0x010100D4C60D2B40AD624EAF8C6F9BEE04A4DA</vt:lpwstr>
  </property>
  <property fmtid="{D5CDD505-2E9C-101B-9397-08002B2CF9AE}" pid="3" name="ClassificationContentMarkingFooterShapeIds">
    <vt:lpwstr>9,a,b</vt:lpwstr>
  </property>
  <property fmtid="{D5CDD505-2E9C-101B-9397-08002B2CF9AE}" pid="4" name="ClassificationContentMarkingFooterFontProps">
    <vt:lpwstr>#000000,10,Calibri</vt:lpwstr>
  </property>
  <property fmtid="{D5CDD505-2E9C-101B-9397-08002B2CF9AE}" pid="5" name="ClassificationContentMarkingFooterText">
    <vt:lpwstr>Classification: BUSINESS</vt:lpwstr>
  </property>
  <property fmtid="{D5CDD505-2E9C-101B-9397-08002B2CF9AE}" pid="6" name="MSIP_Label_20ad2324-fd97-41a5-8822-ae85afc1f7c6_Enabled">
    <vt:lpwstr>true</vt:lpwstr>
  </property>
  <property fmtid="{D5CDD505-2E9C-101B-9397-08002B2CF9AE}" pid="7" name="MSIP_Label_20ad2324-fd97-41a5-8822-ae85afc1f7c6_SetDate">
    <vt:lpwstr>2024-04-03T13:49:15Z</vt:lpwstr>
  </property>
  <property fmtid="{D5CDD505-2E9C-101B-9397-08002B2CF9AE}" pid="8" name="MSIP_Label_20ad2324-fd97-41a5-8822-ae85afc1f7c6_Method">
    <vt:lpwstr>Standard</vt:lpwstr>
  </property>
  <property fmtid="{D5CDD505-2E9C-101B-9397-08002B2CF9AE}" pid="9" name="MSIP_Label_20ad2324-fd97-41a5-8822-ae85afc1f7c6_Name">
    <vt:lpwstr>Business_Sublabel</vt:lpwstr>
  </property>
  <property fmtid="{D5CDD505-2E9C-101B-9397-08002B2CF9AE}" pid="10" name="MSIP_Label_20ad2324-fd97-41a5-8822-ae85afc1f7c6_SiteId">
    <vt:lpwstr>25d26f64-e150-4587-8705-aefeb42a308c</vt:lpwstr>
  </property>
  <property fmtid="{D5CDD505-2E9C-101B-9397-08002B2CF9AE}" pid="11" name="MSIP_Label_20ad2324-fd97-41a5-8822-ae85afc1f7c6_ActionId">
    <vt:lpwstr>5dfbbfc2-44f3-452d-ba82-0d9ae6d3a0a5</vt:lpwstr>
  </property>
  <property fmtid="{D5CDD505-2E9C-101B-9397-08002B2CF9AE}" pid="12" name="MSIP_Label_20ad2324-fd97-41a5-8822-ae85afc1f7c6_ContentBits">
    <vt:lpwstr>2</vt:lpwstr>
  </property>
</Properties>
</file>